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cstheme="majorEastAsia"/>
          <w:b/>
          <w:bCs/>
          <w:sz w:val="52"/>
          <w:szCs w:val="52"/>
        </w:rPr>
      </w:pPr>
      <w:r>
        <w:rPr>
          <w:rFonts w:hint="eastAsia" w:asciiTheme="majorEastAsia" w:hAnsiTheme="majorEastAsia" w:eastAsiaTheme="majorEastAsia" w:cstheme="majorEastAsia"/>
          <w:b/>
          <w:bCs/>
          <w:sz w:val="52"/>
          <w:szCs w:val="52"/>
        </w:rPr>
        <w:t xml:space="preserve">中等职业教育质量报告 </w:t>
      </w:r>
    </w:p>
    <w:p>
      <w:pPr>
        <w:jc w:val="center"/>
        <w:rPr>
          <w:rFonts w:asciiTheme="majorEastAsia" w:hAnsiTheme="majorEastAsia" w:eastAsiaTheme="majorEastAsia" w:cstheme="majorEastAsia"/>
          <w:b/>
          <w:bCs/>
          <w:sz w:val="52"/>
          <w:szCs w:val="52"/>
        </w:rPr>
      </w:pPr>
      <w:r>
        <w:rPr>
          <w:rFonts w:hint="eastAsia" w:asciiTheme="majorEastAsia" w:hAnsiTheme="majorEastAsia" w:eastAsiaTheme="majorEastAsia" w:cstheme="majorEastAsia"/>
          <w:b/>
          <w:bCs/>
          <w:sz w:val="52"/>
          <w:szCs w:val="52"/>
        </w:rPr>
        <w:t>（201</w:t>
      </w:r>
      <w:r>
        <w:rPr>
          <w:rFonts w:hint="eastAsia" w:asciiTheme="majorEastAsia" w:hAnsiTheme="majorEastAsia" w:eastAsiaTheme="majorEastAsia" w:cstheme="majorEastAsia"/>
          <w:b/>
          <w:bCs/>
          <w:sz w:val="52"/>
          <w:szCs w:val="52"/>
          <w:lang w:val="en-US" w:eastAsia="zh-CN"/>
        </w:rPr>
        <w:t>8</w:t>
      </w:r>
      <w:r>
        <w:rPr>
          <w:rFonts w:hint="eastAsia" w:asciiTheme="majorEastAsia" w:hAnsiTheme="majorEastAsia" w:eastAsiaTheme="majorEastAsia" w:cstheme="majorEastAsia"/>
          <w:b/>
          <w:bCs/>
          <w:sz w:val="52"/>
          <w:szCs w:val="52"/>
        </w:rPr>
        <w:t>）</w:t>
      </w:r>
    </w:p>
    <w:p>
      <w:pPr>
        <w:jc w:val="center"/>
        <w:rPr>
          <w:rFonts w:asciiTheme="majorEastAsia" w:hAnsiTheme="majorEastAsia" w:eastAsiaTheme="majorEastAsia" w:cstheme="majorEastAsia"/>
          <w:b/>
          <w:bCs/>
          <w:sz w:val="52"/>
          <w:szCs w:val="52"/>
        </w:rPr>
      </w:pPr>
    </w:p>
    <w:p>
      <w:pPr>
        <w:jc w:val="center"/>
        <w:rPr>
          <w:rFonts w:asciiTheme="majorEastAsia" w:hAnsiTheme="majorEastAsia" w:eastAsiaTheme="majorEastAsia" w:cstheme="majorEastAsia"/>
          <w:b/>
          <w:bCs/>
          <w:sz w:val="52"/>
          <w:szCs w:val="52"/>
        </w:rPr>
      </w:pPr>
      <w:r>
        <w:rPr>
          <w:rFonts w:hint="eastAsia" w:asciiTheme="majorEastAsia" w:hAnsiTheme="majorEastAsia" w:eastAsiaTheme="majorEastAsia" w:cstheme="majorEastAsia"/>
          <w:b/>
          <w:bCs/>
          <w:sz w:val="52"/>
          <w:szCs w:val="52"/>
        </w:rPr>
        <w:drawing>
          <wp:anchor distT="0" distB="0" distL="114935" distR="114935" simplePos="0" relativeHeight="251658240" behindDoc="0" locked="0" layoutInCell="1" allowOverlap="1">
            <wp:simplePos x="0" y="0"/>
            <wp:positionH relativeFrom="column">
              <wp:posOffset>0</wp:posOffset>
            </wp:positionH>
            <wp:positionV relativeFrom="paragraph">
              <wp:posOffset>91440</wp:posOffset>
            </wp:positionV>
            <wp:extent cx="5519420" cy="4381500"/>
            <wp:effectExtent l="0" t="0" r="5080" b="0"/>
            <wp:wrapTopAndBottom/>
            <wp:docPr id="4" name="图片 4" descr="首页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首页照片"/>
                    <pic:cNvPicPr>
                      <a:picLocks noChangeAspect="1"/>
                    </pic:cNvPicPr>
                  </pic:nvPicPr>
                  <pic:blipFill>
                    <a:blip r:embed="rId8" cstate="print"/>
                    <a:stretch>
                      <a:fillRect/>
                    </a:stretch>
                  </pic:blipFill>
                  <pic:spPr>
                    <a:xfrm>
                      <a:off x="0" y="0"/>
                      <a:ext cx="5519420" cy="4381500"/>
                    </a:xfrm>
                    <a:prstGeom prst="rect">
                      <a:avLst/>
                    </a:prstGeom>
                  </pic:spPr>
                </pic:pic>
              </a:graphicData>
            </a:graphic>
          </wp:anchor>
        </w:drawing>
      </w:r>
    </w:p>
    <w:p>
      <w:pPr>
        <w:rPr>
          <w:rFonts w:asciiTheme="majorEastAsia" w:hAnsiTheme="majorEastAsia" w:eastAsiaTheme="majorEastAsia" w:cstheme="majorEastAsia"/>
          <w:b/>
          <w:bCs/>
          <w:sz w:val="44"/>
          <w:szCs w:val="44"/>
        </w:rPr>
      </w:pPr>
    </w:p>
    <w:p>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河北省承德市</w:t>
      </w:r>
    </w:p>
    <w:p>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宽城满族自治县职业技术教育中心</w:t>
      </w:r>
    </w:p>
    <w:p>
      <w:pPr>
        <w:ind w:left="420" w:leftChars="200"/>
        <w:rPr>
          <w:rFonts w:ascii="仿宋_GB2312" w:hAnsi="仿宋_GB2312" w:eastAsia="仿宋_GB2312" w:cs="仿宋_GB2312"/>
          <w:b/>
          <w:bCs/>
          <w:sz w:val="32"/>
          <w:szCs w:val="32"/>
        </w:rPr>
      </w:pPr>
    </w:p>
    <w:p>
      <w:pPr>
        <w:rPr>
          <w:rFonts w:ascii="仿宋_GB2312" w:hAnsi="仿宋_GB2312" w:eastAsia="仿宋_GB2312" w:cs="仿宋_GB2312"/>
          <w:b/>
          <w:bCs/>
          <w:sz w:val="44"/>
          <w:szCs w:val="44"/>
        </w:rPr>
      </w:pPr>
    </w:p>
    <w:p>
      <w:pPr>
        <w:jc w:val="center"/>
        <w:rPr>
          <w:rFonts w:ascii="仿宋_GB2312" w:hAnsi="仿宋_GB2312" w:eastAsia="仿宋_GB2312" w:cs="仿宋_GB2312"/>
          <w:b/>
          <w:bCs/>
          <w:sz w:val="44"/>
          <w:szCs w:val="44"/>
        </w:rPr>
        <w:sectPr>
          <w:headerReference r:id="rId3" w:type="default"/>
          <w:footerReference r:id="rId4" w:type="default"/>
          <w:pgSz w:w="11906" w:h="16838"/>
          <w:pgMar w:top="1213" w:right="1406" w:bottom="986" w:left="1519" w:header="851" w:footer="992" w:gutter="0"/>
          <w:pgBorders>
            <w:top w:val="none" w:sz="0" w:space="0"/>
            <w:left w:val="none" w:sz="0" w:space="0"/>
            <w:bottom w:val="none" w:sz="0" w:space="0"/>
            <w:right w:val="none" w:sz="0" w:space="0"/>
          </w:pgBorders>
          <w:pgNumType w:start="1"/>
          <w:cols w:space="0" w:num="1"/>
          <w:docGrid w:type="lines" w:linePitch="312" w:charSpace="0"/>
        </w:sectPr>
      </w:pPr>
    </w:p>
    <w:p>
      <w:pPr>
        <w:jc w:val="center"/>
        <w:rPr>
          <w:rFonts w:ascii="仿宋_GB2312" w:hAnsi="仿宋_GB2312" w:eastAsia="仿宋_GB2312" w:cs="仿宋_GB2312"/>
          <w:b/>
          <w:bCs/>
          <w:sz w:val="44"/>
          <w:szCs w:val="44"/>
        </w:rPr>
      </w:pPr>
      <w:r>
        <w:rPr>
          <w:rFonts w:hint="eastAsia" w:ascii="仿宋_GB2312" w:hAnsi="仿宋_GB2312" w:eastAsia="仿宋_GB2312" w:cs="仿宋_GB2312"/>
          <w:b/>
          <w:bCs/>
          <w:sz w:val="44"/>
          <w:szCs w:val="44"/>
        </w:rPr>
        <w:t>目    录</w:t>
      </w:r>
    </w:p>
    <w:p>
      <w:pPr>
        <w:rPr>
          <w:rFonts w:ascii="仿宋" w:hAnsi="仿宋" w:eastAsia="仿宋" w:cs="仿宋_GB2312"/>
          <w:b/>
          <w:bCs/>
          <w:sz w:val="32"/>
          <w:szCs w:val="32"/>
        </w:rPr>
      </w:pPr>
      <w:r>
        <w:rPr>
          <w:rFonts w:hint="eastAsia" w:ascii="仿宋" w:hAnsi="仿宋" w:eastAsia="仿宋" w:cs="仿宋_GB2312"/>
          <w:sz w:val="32"/>
          <w:szCs w:val="32"/>
        </w:rPr>
        <w:t>1.学校情况</w:t>
      </w:r>
      <w:r>
        <w:rPr>
          <w:rFonts w:hint="eastAsia" w:ascii="仿宋" w:hAnsi="仿宋" w:eastAsia="仿宋" w:cs="仿宋_GB2312"/>
          <w:b/>
          <w:bCs/>
          <w:sz w:val="32"/>
          <w:szCs w:val="32"/>
        </w:rPr>
        <w:t xml:space="preserve">  </w:t>
      </w:r>
      <w:r>
        <w:rPr>
          <w:rFonts w:hint="eastAsia" w:ascii="仿宋" w:hAnsi="仿宋" w:eastAsia="仿宋" w:cs="仿宋_GB2312"/>
          <w:b/>
          <w:bCs/>
          <w:sz w:val="32"/>
          <w:szCs w:val="32"/>
          <w:lang w:val="en-US" w:eastAsia="zh-CN"/>
        </w:rPr>
        <w:t xml:space="preserve"> </w:t>
      </w:r>
      <w:r>
        <w:rPr>
          <w:rFonts w:hint="eastAsia" w:ascii="仿宋" w:hAnsi="仿宋" w:eastAsia="仿宋" w:cs="仿宋_GB2312"/>
          <w:color w:val="333333"/>
          <w:sz w:val="32"/>
          <w:szCs w:val="32"/>
          <w:shd w:val="clear" w:color="auto" w:fill="FFFFFF"/>
        </w:rPr>
        <w:t>……………………………………………………1</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1.1学校概况  ……………………………………………………1</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1.2学生情况  ……………………………………………………2</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1.2.1招生规模  …………………………………………………2</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 xml:space="preserve">1.2.2专业分布  </w:t>
      </w:r>
      <w:r>
        <w:rPr>
          <w:rFonts w:hint="eastAsia" w:ascii="仿宋" w:hAnsi="仿宋" w:eastAsia="仿宋" w:cs="仿宋_GB2312"/>
          <w:color w:val="333333"/>
          <w:sz w:val="32"/>
          <w:szCs w:val="32"/>
          <w:shd w:val="clear" w:color="auto" w:fill="FFFFFF"/>
          <w:lang w:val="en-US" w:eastAsia="zh-CN"/>
        </w:rPr>
        <w:t xml:space="preserve">  </w:t>
      </w:r>
      <w:r>
        <w:rPr>
          <w:rFonts w:hint="eastAsia" w:ascii="仿宋" w:hAnsi="仿宋" w:eastAsia="仿宋" w:cs="仿宋_GB2312"/>
          <w:color w:val="333333"/>
          <w:sz w:val="32"/>
          <w:szCs w:val="32"/>
          <w:shd w:val="clear" w:color="auto" w:fill="FFFFFF"/>
        </w:rPr>
        <w:t>………………………………………………</w:t>
      </w:r>
      <w:r>
        <w:rPr>
          <w:rFonts w:hint="eastAsia" w:ascii="仿宋" w:hAnsi="仿宋" w:eastAsia="仿宋" w:cs="仿宋_GB2312"/>
          <w:color w:val="333333"/>
          <w:sz w:val="32"/>
          <w:szCs w:val="32"/>
          <w:shd w:val="clear" w:color="auto" w:fill="FFFFFF"/>
          <w:lang w:val="en-US" w:eastAsia="zh-CN"/>
        </w:rPr>
        <w:t>3</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1.2.3在校生规模  ………………………………………………3</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1.2.4毕业生规模  ………………………………………………4</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1.2.5学生结构  …………………………………………………5</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1.2.6巩固率  ……………………………………………………5</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 xml:space="preserve">1.2.7培训规模  </w:t>
      </w:r>
      <w:r>
        <w:rPr>
          <w:rFonts w:hint="eastAsia" w:ascii="仿宋" w:hAnsi="仿宋" w:eastAsia="仿宋" w:cs="仿宋_GB2312"/>
          <w:color w:val="333333"/>
          <w:sz w:val="32"/>
          <w:szCs w:val="32"/>
          <w:shd w:val="clear" w:color="auto" w:fill="FFFFFF"/>
          <w:lang w:val="en-US" w:eastAsia="zh-CN"/>
        </w:rPr>
        <w:t xml:space="preserve">  </w:t>
      </w:r>
      <w:r>
        <w:rPr>
          <w:rFonts w:hint="eastAsia" w:ascii="仿宋" w:hAnsi="仿宋" w:eastAsia="仿宋" w:cs="仿宋_GB2312"/>
          <w:color w:val="333333"/>
          <w:sz w:val="32"/>
          <w:szCs w:val="32"/>
          <w:shd w:val="clear" w:color="auto" w:fill="FFFFFF"/>
        </w:rPr>
        <w:t>………………………………………………</w:t>
      </w:r>
      <w:r>
        <w:rPr>
          <w:rFonts w:hint="eastAsia" w:ascii="仿宋" w:hAnsi="仿宋" w:eastAsia="仿宋" w:cs="仿宋_GB2312"/>
          <w:color w:val="333333"/>
          <w:sz w:val="32"/>
          <w:szCs w:val="32"/>
          <w:shd w:val="clear" w:color="auto" w:fill="FFFFFF"/>
          <w:lang w:val="en-US" w:eastAsia="zh-CN"/>
        </w:rPr>
        <w:t>6</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1.3教师队伍  ……………………………………………………6</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1.3.1生师比  ……………………………………………………6</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1.3.2教师结构比例  ……………………………………………7</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1.4设施设备  ……………………………………………………7</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 xml:space="preserve">1.4.1生均教学仪器设备值  </w:t>
      </w:r>
      <w:r>
        <w:rPr>
          <w:rFonts w:hint="eastAsia" w:ascii="仿宋" w:hAnsi="仿宋" w:eastAsia="仿宋" w:cs="仿宋_GB2312"/>
          <w:color w:val="333333"/>
          <w:sz w:val="32"/>
          <w:szCs w:val="32"/>
          <w:shd w:val="clear" w:color="auto" w:fill="FFFFFF"/>
          <w:lang w:val="en-US" w:eastAsia="zh-CN"/>
        </w:rPr>
        <w:t xml:space="preserve">  </w:t>
      </w:r>
      <w:r>
        <w:rPr>
          <w:rFonts w:hint="eastAsia" w:ascii="仿宋" w:hAnsi="仿宋" w:eastAsia="仿宋" w:cs="仿宋_GB2312"/>
          <w:color w:val="333333"/>
          <w:sz w:val="32"/>
          <w:szCs w:val="32"/>
          <w:shd w:val="clear" w:color="auto" w:fill="FFFFFF"/>
        </w:rPr>
        <w:t>…………………………………</w:t>
      </w:r>
      <w:r>
        <w:rPr>
          <w:rFonts w:hint="eastAsia" w:ascii="仿宋" w:hAnsi="仿宋" w:eastAsia="仿宋" w:cs="仿宋_GB2312"/>
          <w:color w:val="333333"/>
          <w:sz w:val="32"/>
          <w:szCs w:val="32"/>
          <w:shd w:val="clear" w:color="auto" w:fill="FFFFFF"/>
          <w:lang w:val="en-US" w:eastAsia="zh-CN"/>
        </w:rPr>
        <w:t>9</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1.4.2生均实训实习工位数  ……………………………………9</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1.4.3生均纸质图书数   ………………………………………10</w:t>
      </w:r>
    </w:p>
    <w:p>
      <w:pPr>
        <w:numPr>
          <w:ilvl w:val="0"/>
          <w:numId w:val="1"/>
        </w:num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学生发展………………………………………………………11</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2.1学生素质 ……………………………………………………11</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2.2在校体验 ……………………………………………………12</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2.3资助情况 ……………………………………………………13</w:t>
      </w:r>
    </w:p>
    <w:p>
      <w:pPr>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2.3.1免学费和助学金落实情况  ………………………………13</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2.3.2学校对学生的资助情况……………………………………</w:t>
      </w:r>
      <w:r>
        <w:rPr>
          <w:rFonts w:hint="eastAsia" w:ascii="仿宋" w:hAnsi="仿宋" w:eastAsia="仿宋" w:cs="仿宋_GB2312"/>
          <w:color w:val="333333"/>
          <w:sz w:val="32"/>
          <w:szCs w:val="32"/>
          <w:shd w:val="clear" w:color="auto" w:fill="FFFFFF"/>
          <w:lang w:val="en-US" w:eastAsia="zh-CN"/>
        </w:rPr>
        <w:t>14</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2.4就业质量………………………………………………………</w:t>
      </w:r>
      <w:r>
        <w:rPr>
          <w:rFonts w:hint="eastAsia" w:ascii="仿宋" w:hAnsi="仿宋" w:eastAsia="仿宋" w:cs="仿宋_GB2312"/>
          <w:color w:val="333333"/>
          <w:sz w:val="32"/>
          <w:szCs w:val="32"/>
          <w:shd w:val="clear" w:color="auto" w:fill="FFFFFF"/>
          <w:lang w:val="en-US" w:eastAsia="zh-CN"/>
        </w:rPr>
        <w:t>15</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2.5职业发展………………………………………………………</w:t>
      </w:r>
      <w:r>
        <w:rPr>
          <w:rFonts w:hint="eastAsia" w:ascii="仿宋" w:hAnsi="仿宋" w:eastAsia="仿宋" w:cs="仿宋_GB2312"/>
          <w:color w:val="333333"/>
          <w:sz w:val="32"/>
          <w:szCs w:val="32"/>
          <w:shd w:val="clear" w:color="auto" w:fill="FFFFFF"/>
          <w:lang w:val="en-US" w:eastAsia="zh-CN"/>
        </w:rPr>
        <w:t>16</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2.5.1学习能力……………………………………………………1</w:t>
      </w:r>
      <w:r>
        <w:rPr>
          <w:rFonts w:hint="eastAsia" w:ascii="仿宋" w:hAnsi="仿宋" w:eastAsia="仿宋" w:cs="仿宋_GB2312"/>
          <w:color w:val="333333"/>
          <w:sz w:val="32"/>
          <w:szCs w:val="32"/>
          <w:shd w:val="clear" w:color="auto" w:fill="FFFFFF"/>
          <w:lang w:val="en-US" w:eastAsia="zh-CN"/>
        </w:rPr>
        <w:t>6</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2.5.2岗位适应能力与迁移能力…………………………………</w:t>
      </w:r>
      <w:r>
        <w:rPr>
          <w:rFonts w:hint="eastAsia" w:ascii="仿宋" w:hAnsi="仿宋" w:eastAsia="仿宋" w:cs="仿宋_GB2312"/>
          <w:color w:val="333333"/>
          <w:sz w:val="32"/>
          <w:szCs w:val="32"/>
          <w:shd w:val="clear" w:color="auto" w:fill="FFFFFF"/>
          <w:lang w:val="en-US" w:eastAsia="zh-CN"/>
        </w:rPr>
        <w:t>16</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2.5.3创新创业能力………………………………………………</w:t>
      </w:r>
      <w:r>
        <w:rPr>
          <w:rFonts w:hint="eastAsia" w:ascii="仿宋" w:hAnsi="仿宋" w:eastAsia="仿宋" w:cs="仿宋_GB2312"/>
          <w:color w:val="333333"/>
          <w:sz w:val="32"/>
          <w:szCs w:val="32"/>
          <w:shd w:val="clear" w:color="auto" w:fill="FFFFFF"/>
          <w:lang w:val="en-US" w:eastAsia="zh-CN"/>
        </w:rPr>
        <w:t>16</w:t>
      </w:r>
    </w:p>
    <w:p>
      <w:pPr>
        <w:numPr>
          <w:ilvl w:val="0"/>
          <w:numId w:val="1"/>
        </w:numPr>
        <w:tabs>
          <w:tab w:val="clear" w:pos="312"/>
        </w:tabs>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质量保障措施 …………………………………………………</w:t>
      </w:r>
      <w:r>
        <w:rPr>
          <w:rFonts w:hint="eastAsia" w:ascii="仿宋" w:hAnsi="仿宋" w:eastAsia="仿宋" w:cs="仿宋_GB2312"/>
          <w:color w:val="333333"/>
          <w:sz w:val="32"/>
          <w:szCs w:val="32"/>
          <w:shd w:val="clear" w:color="auto" w:fill="FFFFFF"/>
          <w:lang w:val="en-US" w:eastAsia="zh-CN"/>
        </w:rPr>
        <w:t>17</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3.1专业动态调整…………………………………………………</w:t>
      </w:r>
      <w:r>
        <w:rPr>
          <w:rFonts w:hint="eastAsia" w:ascii="仿宋" w:hAnsi="仿宋" w:eastAsia="仿宋" w:cs="仿宋_GB2312"/>
          <w:color w:val="333333"/>
          <w:sz w:val="32"/>
          <w:szCs w:val="32"/>
          <w:shd w:val="clear" w:color="auto" w:fill="FFFFFF"/>
          <w:lang w:val="en-US" w:eastAsia="zh-CN"/>
        </w:rPr>
        <w:t>17</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3.1.1专业结构调整………………………………………………</w:t>
      </w:r>
      <w:r>
        <w:rPr>
          <w:rFonts w:hint="eastAsia" w:ascii="仿宋" w:hAnsi="仿宋" w:eastAsia="仿宋" w:cs="仿宋_GB2312"/>
          <w:color w:val="333333"/>
          <w:sz w:val="32"/>
          <w:szCs w:val="32"/>
          <w:shd w:val="clear" w:color="auto" w:fill="FFFFFF"/>
          <w:lang w:val="en-US" w:eastAsia="zh-CN"/>
        </w:rPr>
        <w:t>17</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3.1.2人才培养方案调整…………………………………………</w:t>
      </w:r>
      <w:r>
        <w:rPr>
          <w:rFonts w:hint="eastAsia" w:ascii="仿宋" w:hAnsi="仿宋" w:eastAsia="仿宋" w:cs="仿宋_GB2312"/>
          <w:color w:val="333333"/>
          <w:sz w:val="32"/>
          <w:szCs w:val="32"/>
          <w:shd w:val="clear" w:color="auto" w:fill="FFFFFF"/>
          <w:lang w:val="en-US" w:eastAsia="zh-CN"/>
        </w:rPr>
        <w:t>18</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3.2教育教学改革…………………………………………………1</w:t>
      </w:r>
      <w:r>
        <w:rPr>
          <w:rFonts w:hint="eastAsia" w:ascii="仿宋" w:hAnsi="仿宋" w:eastAsia="仿宋" w:cs="仿宋_GB2312"/>
          <w:color w:val="333333"/>
          <w:sz w:val="32"/>
          <w:szCs w:val="32"/>
          <w:shd w:val="clear" w:color="auto" w:fill="FFFFFF"/>
          <w:lang w:val="en-US" w:eastAsia="zh-CN"/>
        </w:rPr>
        <w:t>8</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3.2.1学校公共基础课……………………………………………1</w:t>
      </w:r>
      <w:r>
        <w:rPr>
          <w:rFonts w:hint="eastAsia" w:ascii="仿宋" w:hAnsi="仿宋" w:eastAsia="仿宋" w:cs="仿宋_GB2312"/>
          <w:color w:val="333333"/>
          <w:sz w:val="32"/>
          <w:szCs w:val="32"/>
          <w:shd w:val="clear" w:color="auto" w:fill="FFFFFF"/>
          <w:lang w:val="en-US" w:eastAsia="zh-CN"/>
        </w:rPr>
        <w:t>9</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3.2.2专业设置……………………………………………………1</w:t>
      </w:r>
      <w:r>
        <w:rPr>
          <w:rFonts w:hint="eastAsia" w:ascii="仿宋" w:hAnsi="仿宋" w:eastAsia="仿宋" w:cs="仿宋_GB2312"/>
          <w:color w:val="333333"/>
          <w:sz w:val="32"/>
          <w:szCs w:val="32"/>
          <w:shd w:val="clear" w:color="auto" w:fill="FFFFFF"/>
          <w:lang w:val="en-US" w:eastAsia="zh-CN"/>
        </w:rPr>
        <w:t>9</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3.2.3师资队伍……………………………………………………1</w:t>
      </w:r>
      <w:r>
        <w:rPr>
          <w:rFonts w:hint="eastAsia" w:ascii="仿宋" w:hAnsi="仿宋" w:eastAsia="仿宋" w:cs="仿宋_GB2312"/>
          <w:color w:val="333333"/>
          <w:sz w:val="32"/>
          <w:szCs w:val="32"/>
          <w:shd w:val="clear" w:color="auto" w:fill="FFFFFF"/>
          <w:lang w:val="en-US" w:eastAsia="zh-CN"/>
        </w:rPr>
        <w:t>9</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3.2.4课程建设……………………………………………………</w:t>
      </w:r>
      <w:r>
        <w:rPr>
          <w:rFonts w:hint="eastAsia" w:ascii="仿宋" w:hAnsi="仿宋" w:eastAsia="仿宋" w:cs="仿宋_GB2312"/>
          <w:color w:val="333333"/>
          <w:sz w:val="32"/>
          <w:szCs w:val="32"/>
          <w:shd w:val="clear" w:color="auto" w:fill="FFFFFF"/>
          <w:lang w:val="en-US" w:eastAsia="zh-CN"/>
        </w:rPr>
        <w:t>20</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3.2.5人才培养模式改革…………………………………………</w:t>
      </w:r>
      <w:r>
        <w:rPr>
          <w:rFonts w:hint="eastAsia" w:ascii="仿宋" w:hAnsi="仿宋" w:eastAsia="仿宋" w:cs="仿宋_GB2312"/>
          <w:color w:val="333333"/>
          <w:sz w:val="32"/>
          <w:szCs w:val="32"/>
          <w:shd w:val="clear" w:color="auto" w:fill="FFFFFF"/>
          <w:lang w:val="en-US" w:eastAsia="zh-CN"/>
        </w:rPr>
        <w:t>20</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3.2.6信息化教学…………………………………………………</w:t>
      </w:r>
      <w:r>
        <w:rPr>
          <w:rFonts w:hint="eastAsia" w:ascii="仿宋" w:hAnsi="仿宋" w:eastAsia="仿宋" w:cs="仿宋_GB2312"/>
          <w:color w:val="333333"/>
          <w:sz w:val="32"/>
          <w:szCs w:val="32"/>
          <w:shd w:val="clear" w:color="auto" w:fill="FFFFFF"/>
          <w:lang w:val="en-US" w:eastAsia="zh-CN"/>
        </w:rPr>
        <w:t>23</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3.2.7实训基地……………………………………………………</w:t>
      </w:r>
      <w:r>
        <w:rPr>
          <w:rFonts w:hint="eastAsia" w:ascii="仿宋" w:hAnsi="仿宋" w:eastAsia="仿宋" w:cs="仿宋_GB2312"/>
          <w:color w:val="333333"/>
          <w:sz w:val="32"/>
          <w:szCs w:val="32"/>
          <w:shd w:val="clear" w:color="auto" w:fill="FFFFFF"/>
          <w:lang w:val="en-US" w:eastAsia="zh-CN"/>
        </w:rPr>
        <w:t>23</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3.2.8教学资源建设………………………………………………</w:t>
      </w:r>
      <w:r>
        <w:rPr>
          <w:rFonts w:hint="eastAsia" w:ascii="仿宋" w:hAnsi="仿宋" w:eastAsia="仿宋" w:cs="仿宋_GB2312"/>
          <w:color w:val="333333"/>
          <w:sz w:val="32"/>
          <w:szCs w:val="32"/>
          <w:shd w:val="clear" w:color="auto" w:fill="FFFFFF"/>
          <w:lang w:val="en-US" w:eastAsia="zh-CN"/>
        </w:rPr>
        <w:t>25</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3.2.9教材选用……………………………………………………</w:t>
      </w:r>
      <w:r>
        <w:rPr>
          <w:rFonts w:hint="eastAsia" w:ascii="仿宋" w:hAnsi="仿宋" w:eastAsia="仿宋" w:cs="仿宋_GB2312"/>
          <w:color w:val="333333"/>
          <w:sz w:val="32"/>
          <w:szCs w:val="32"/>
          <w:shd w:val="clear" w:color="auto" w:fill="FFFFFF"/>
          <w:lang w:val="en-US" w:eastAsia="zh-CN"/>
        </w:rPr>
        <w:t>25</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3.3教师培养培训…………………………………………………</w:t>
      </w:r>
      <w:r>
        <w:rPr>
          <w:rFonts w:hint="eastAsia" w:ascii="仿宋" w:hAnsi="仿宋" w:eastAsia="仿宋" w:cs="仿宋_GB2312"/>
          <w:color w:val="333333"/>
          <w:sz w:val="32"/>
          <w:szCs w:val="32"/>
          <w:shd w:val="clear" w:color="auto" w:fill="FFFFFF"/>
          <w:lang w:val="en-US" w:eastAsia="zh-CN"/>
        </w:rPr>
        <w:t>25</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3.3.1教师培养培训情况…………………………………………2</w:t>
      </w:r>
      <w:r>
        <w:rPr>
          <w:rFonts w:hint="eastAsia" w:ascii="仿宋" w:hAnsi="仿宋" w:eastAsia="仿宋" w:cs="仿宋_GB2312"/>
          <w:color w:val="333333"/>
          <w:sz w:val="32"/>
          <w:szCs w:val="32"/>
          <w:shd w:val="clear" w:color="auto" w:fill="FFFFFF"/>
          <w:lang w:val="en-US" w:eastAsia="zh-CN"/>
        </w:rPr>
        <w:t>5</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3.4规范管理情况…………………………………………………2</w:t>
      </w:r>
      <w:r>
        <w:rPr>
          <w:rFonts w:hint="eastAsia" w:ascii="仿宋" w:hAnsi="仿宋" w:eastAsia="仿宋" w:cs="仿宋_GB2312"/>
          <w:color w:val="333333"/>
          <w:sz w:val="32"/>
          <w:szCs w:val="32"/>
          <w:shd w:val="clear" w:color="auto" w:fill="FFFFFF"/>
          <w:lang w:val="en-US" w:eastAsia="zh-CN"/>
        </w:rPr>
        <w:t>6</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3.4.1教学管理……………………………………………………2</w:t>
      </w:r>
      <w:r>
        <w:rPr>
          <w:rFonts w:hint="eastAsia" w:ascii="仿宋" w:hAnsi="仿宋" w:eastAsia="仿宋" w:cs="仿宋_GB2312"/>
          <w:color w:val="333333"/>
          <w:sz w:val="32"/>
          <w:szCs w:val="32"/>
          <w:shd w:val="clear" w:color="auto" w:fill="FFFFFF"/>
          <w:lang w:val="en-US" w:eastAsia="zh-CN"/>
        </w:rPr>
        <w:t>6</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3.4.2学生管理……………………………………………………2</w:t>
      </w:r>
      <w:r>
        <w:rPr>
          <w:rFonts w:hint="eastAsia" w:ascii="仿宋" w:hAnsi="仿宋" w:eastAsia="仿宋" w:cs="仿宋_GB2312"/>
          <w:color w:val="333333"/>
          <w:sz w:val="32"/>
          <w:szCs w:val="32"/>
          <w:shd w:val="clear" w:color="auto" w:fill="FFFFFF"/>
          <w:lang w:val="en-US" w:eastAsia="zh-CN"/>
        </w:rPr>
        <w:t>7</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3.4.3财务管理……………………………………………………2</w:t>
      </w:r>
      <w:r>
        <w:rPr>
          <w:rFonts w:hint="eastAsia" w:ascii="仿宋" w:hAnsi="仿宋" w:eastAsia="仿宋" w:cs="仿宋_GB2312"/>
          <w:color w:val="333333"/>
          <w:sz w:val="32"/>
          <w:szCs w:val="32"/>
          <w:shd w:val="clear" w:color="auto" w:fill="FFFFFF"/>
          <w:lang w:val="en-US" w:eastAsia="zh-CN"/>
        </w:rPr>
        <w:t>8</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3.4.4后勤管理……………………………………………………2</w:t>
      </w:r>
      <w:r>
        <w:rPr>
          <w:rFonts w:hint="eastAsia" w:ascii="仿宋" w:hAnsi="仿宋" w:eastAsia="仿宋" w:cs="仿宋_GB2312"/>
          <w:color w:val="333333"/>
          <w:sz w:val="32"/>
          <w:szCs w:val="32"/>
          <w:shd w:val="clear" w:color="auto" w:fill="FFFFFF"/>
          <w:lang w:val="en-US" w:eastAsia="zh-CN"/>
        </w:rPr>
        <w:t>9</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3.4.5安全管理……………………………………………………2</w:t>
      </w:r>
      <w:r>
        <w:rPr>
          <w:rFonts w:hint="eastAsia" w:ascii="仿宋" w:hAnsi="仿宋" w:eastAsia="仿宋" w:cs="仿宋_GB2312"/>
          <w:color w:val="333333"/>
          <w:sz w:val="32"/>
          <w:szCs w:val="32"/>
          <w:shd w:val="clear" w:color="auto" w:fill="FFFFFF"/>
          <w:lang w:val="en-US" w:eastAsia="zh-CN"/>
        </w:rPr>
        <w:t>9</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3.4.6科研管理……………………………………………………</w:t>
      </w:r>
      <w:r>
        <w:rPr>
          <w:rFonts w:hint="eastAsia" w:ascii="仿宋" w:hAnsi="仿宋" w:eastAsia="仿宋" w:cs="仿宋_GB2312"/>
          <w:color w:val="333333"/>
          <w:sz w:val="32"/>
          <w:szCs w:val="32"/>
          <w:shd w:val="clear" w:color="auto" w:fill="FFFFFF"/>
          <w:lang w:val="en-US" w:eastAsia="zh-CN"/>
        </w:rPr>
        <w:t>30</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3.4.7管理队伍建设………………………………………………</w:t>
      </w:r>
      <w:r>
        <w:rPr>
          <w:rFonts w:hint="eastAsia" w:ascii="仿宋" w:hAnsi="仿宋" w:eastAsia="仿宋" w:cs="仿宋_GB2312"/>
          <w:color w:val="333333"/>
          <w:sz w:val="32"/>
          <w:szCs w:val="32"/>
          <w:shd w:val="clear" w:color="auto" w:fill="FFFFFF"/>
          <w:lang w:val="en-US" w:eastAsia="zh-CN"/>
        </w:rPr>
        <w:t>30</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3.4.8管理信息化水平……………………………………………</w:t>
      </w:r>
      <w:r>
        <w:rPr>
          <w:rFonts w:hint="eastAsia" w:ascii="仿宋" w:hAnsi="仿宋" w:eastAsia="仿宋" w:cs="仿宋_GB2312"/>
          <w:color w:val="333333"/>
          <w:sz w:val="32"/>
          <w:szCs w:val="32"/>
          <w:shd w:val="clear" w:color="auto" w:fill="FFFFFF"/>
          <w:lang w:val="en-US" w:eastAsia="zh-CN"/>
        </w:rPr>
        <w:t>31</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3.5德育工作情况…………………………………………………</w:t>
      </w:r>
      <w:r>
        <w:rPr>
          <w:rFonts w:hint="eastAsia" w:ascii="仿宋" w:hAnsi="仿宋" w:eastAsia="仿宋" w:cs="仿宋_GB2312"/>
          <w:color w:val="333333"/>
          <w:sz w:val="32"/>
          <w:szCs w:val="32"/>
          <w:shd w:val="clear" w:color="auto" w:fill="FFFFFF"/>
          <w:lang w:val="en-US" w:eastAsia="zh-CN"/>
        </w:rPr>
        <w:t>31</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3.5.1德育课实施情况……………………………………………</w:t>
      </w:r>
      <w:r>
        <w:rPr>
          <w:rFonts w:hint="eastAsia" w:ascii="仿宋" w:hAnsi="仿宋" w:eastAsia="仿宋" w:cs="仿宋_GB2312"/>
          <w:color w:val="333333"/>
          <w:sz w:val="32"/>
          <w:szCs w:val="32"/>
          <w:shd w:val="clear" w:color="auto" w:fill="FFFFFF"/>
          <w:lang w:val="en-US" w:eastAsia="zh-CN"/>
        </w:rPr>
        <w:t>32</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3.5.2校园文化建设………………………………………………</w:t>
      </w:r>
      <w:r>
        <w:rPr>
          <w:rFonts w:hint="eastAsia" w:ascii="仿宋" w:hAnsi="仿宋" w:eastAsia="仿宋" w:cs="仿宋_GB2312"/>
          <w:color w:val="333333"/>
          <w:sz w:val="32"/>
          <w:szCs w:val="32"/>
          <w:shd w:val="clear" w:color="auto" w:fill="FFFFFF"/>
          <w:lang w:val="en-US" w:eastAsia="zh-CN"/>
        </w:rPr>
        <w:t>32</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3.5.3文明风采活动开展情况……………………………………</w:t>
      </w:r>
      <w:r>
        <w:rPr>
          <w:rFonts w:hint="eastAsia" w:ascii="仿宋" w:hAnsi="仿宋" w:eastAsia="仿宋" w:cs="仿宋_GB2312"/>
          <w:color w:val="333333"/>
          <w:sz w:val="32"/>
          <w:szCs w:val="32"/>
          <w:shd w:val="clear" w:color="auto" w:fill="FFFFFF"/>
          <w:lang w:val="en-US" w:eastAsia="zh-CN"/>
        </w:rPr>
        <w:t>33</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3.5.4社团活动……………………………………………………3</w:t>
      </w:r>
      <w:r>
        <w:rPr>
          <w:rFonts w:hint="eastAsia" w:ascii="仿宋" w:hAnsi="仿宋" w:eastAsia="仿宋" w:cs="仿宋_GB2312"/>
          <w:color w:val="333333"/>
          <w:sz w:val="32"/>
          <w:szCs w:val="32"/>
          <w:shd w:val="clear" w:color="auto" w:fill="FFFFFF"/>
          <w:lang w:val="en-US" w:eastAsia="zh-CN"/>
        </w:rPr>
        <w:t>4</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3.5.5团组织学生会建设及活动…………………………………3</w:t>
      </w:r>
      <w:r>
        <w:rPr>
          <w:rFonts w:hint="eastAsia" w:ascii="仿宋" w:hAnsi="仿宋" w:eastAsia="仿宋" w:cs="仿宋_GB2312"/>
          <w:color w:val="333333"/>
          <w:sz w:val="32"/>
          <w:szCs w:val="32"/>
          <w:shd w:val="clear" w:color="auto" w:fill="FFFFFF"/>
          <w:lang w:val="en-US" w:eastAsia="zh-CN"/>
        </w:rPr>
        <w:t>4</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3.6党建情况  ……………………………………………………3</w:t>
      </w:r>
      <w:r>
        <w:rPr>
          <w:rFonts w:hint="eastAsia" w:ascii="仿宋" w:hAnsi="仿宋" w:eastAsia="仿宋" w:cs="仿宋_GB2312"/>
          <w:color w:val="333333"/>
          <w:sz w:val="32"/>
          <w:szCs w:val="32"/>
          <w:shd w:val="clear" w:color="auto" w:fill="FFFFFF"/>
          <w:lang w:val="en-US" w:eastAsia="zh-CN"/>
        </w:rPr>
        <w:t>4</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3.6.1健全党建工作管理体制情况………………………………3</w:t>
      </w:r>
      <w:r>
        <w:rPr>
          <w:rFonts w:hint="eastAsia" w:ascii="仿宋" w:hAnsi="仿宋" w:eastAsia="仿宋" w:cs="仿宋_GB2312"/>
          <w:color w:val="333333"/>
          <w:sz w:val="32"/>
          <w:szCs w:val="32"/>
          <w:shd w:val="clear" w:color="auto" w:fill="FFFFFF"/>
          <w:lang w:val="en-US" w:eastAsia="zh-CN"/>
        </w:rPr>
        <w:t>5</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3.6.2推动德育和思想政治工作情况……………………………3</w:t>
      </w:r>
      <w:r>
        <w:rPr>
          <w:rFonts w:hint="eastAsia" w:ascii="仿宋" w:hAnsi="仿宋" w:eastAsia="仿宋" w:cs="仿宋_GB2312"/>
          <w:color w:val="333333"/>
          <w:sz w:val="32"/>
          <w:szCs w:val="32"/>
          <w:shd w:val="clear" w:color="auto" w:fill="FFFFFF"/>
          <w:lang w:val="en-US" w:eastAsia="zh-CN"/>
        </w:rPr>
        <w:t>5</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3.6.3加强党组织建设情况………………………………………3</w:t>
      </w:r>
      <w:r>
        <w:rPr>
          <w:rFonts w:hint="eastAsia" w:ascii="仿宋" w:hAnsi="仿宋" w:eastAsia="仿宋" w:cs="仿宋_GB2312"/>
          <w:color w:val="333333"/>
          <w:sz w:val="32"/>
          <w:szCs w:val="32"/>
          <w:shd w:val="clear" w:color="auto" w:fill="FFFFFF"/>
          <w:lang w:val="en-US" w:eastAsia="zh-CN"/>
        </w:rPr>
        <w:t>6</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3.6.4党组织发挥政治核心作用情况……………………………3</w:t>
      </w:r>
      <w:r>
        <w:rPr>
          <w:rFonts w:hint="eastAsia" w:ascii="仿宋" w:hAnsi="仿宋" w:eastAsia="仿宋" w:cs="仿宋_GB2312"/>
          <w:color w:val="333333"/>
          <w:sz w:val="32"/>
          <w:szCs w:val="32"/>
          <w:shd w:val="clear" w:color="auto" w:fill="FFFFFF"/>
          <w:lang w:val="en-US" w:eastAsia="zh-CN"/>
        </w:rPr>
        <w:t>6</w:t>
      </w:r>
    </w:p>
    <w:p>
      <w:pPr>
        <w:numPr>
          <w:ilvl w:val="0"/>
          <w:numId w:val="1"/>
        </w:numPr>
        <w:tabs>
          <w:tab w:val="clear" w:pos="312"/>
        </w:tabs>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校企合作 ………………………………………………………3</w:t>
      </w:r>
      <w:r>
        <w:rPr>
          <w:rFonts w:hint="eastAsia" w:ascii="仿宋" w:hAnsi="仿宋" w:eastAsia="仿宋" w:cs="仿宋_GB2312"/>
          <w:color w:val="333333"/>
          <w:sz w:val="32"/>
          <w:szCs w:val="32"/>
          <w:shd w:val="clear" w:color="auto" w:fill="FFFFFF"/>
          <w:lang w:val="en-US" w:eastAsia="zh-CN"/>
        </w:rPr>
        <w:t>6</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4.1校企合作开展情况和效果……………………………………3</w:t>
      </w:r>
      <w:r>
        <w:rPr>
          <w:rFonts w:hint="eastAsia" w:ascii="仿宋" w:hAnsi="仿宋" w:eastAsia="仿宋" w:cs="仿宋_GB2312"/>
          <w:color w:val="333333"/>
          <w:sz w:val="32"/>
          <w:szCs w:val="32"/>
          <w:shd w:val="clear" w:color="auto" w:fill="FFFFFF"/>
          <w:lang w:val="en-US" w:eastAsia="zh-CN"/>
        </w:rPr>
        <w:t>6</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4.2学生实习情况…………………………………………………3</w:t>
      </w:r>
      <w:r>
        <w:rPr>
          <w:rFonts w:hint="eastAsia" w:ascii="仿宋" w:hAnsi="仿宋" w:eastAsia="仿宋" w:cs="仿宋_GB2312"/>
          <w:color w:val="333333"/>
          <w:sz w:val="32"/>
          <w:szCs w:val="32"/>
          <w:shd w:val="clear" w:color="auto" w:fill="FFFFFF"/>
          <w:lang w:val="en-US" w:eastAsia="zh-CN"/>
        </w:rPr>
        <w:t>7</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4.3集团化办学情况………………………………………………3</w:t>
      </w:r>
      <w:r>
        <w:rPr>
          <w:rFonts w:hint="eastAsia" w:ascii="仿宋" w:hAnsi="仿宋" w:eastAsia="仿宋" w:cs="仿宋_GB2312"/>
          <w:color w:val="333333"/>
          <w:sz w:val="32"/>
          <w:szCs w:val="32"/>
          <w:shd w:val="clear" w:color="auto" w:fill="FFFFFF"/>
          <w:lang w:val="en-US" w:eastAsia="zh-CN"/>
        </w:rPr>
        <w:t>7</w:t>
      </w:r>
    </w:p>
    <w:p>
      <w:pPr>
        <w:numPr>
          <w:ilvl w:val="0"/>
          <w:numId w:val="1"/>
        </w:numPr>
        <w:tabs>
          <w:tab w:val="clear" w:pos="312"/>
        </w:tabs>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社会贡献 ………………………………………………………3</w:t>
      </w:r>
      <w:r>
        <w:rPr>
          <w:rFonts w:hint="eastAsia" w:ascii="仿宋" w:hAnsi="仿宋" w:eastAsia="仿宋" w:cs="仿宋_GB2312"/>
          <w:color w:val="333333"/>
          <w:sz w:val="32"/>
          <w:szCs w:val="32"/>
          <w:shd w:val="clear" w:color="auto" w:fill="FFFFFF"/>
          <w:lang w:val="en-US" w:eastAsia="zh-CN"/>
        </w:rPr>
        <w:t>8</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5.1技术技能人才培养……………………………………………3</w:t>
      </w:r>
      <w:r>
        <w:rPr>
          <w:rFonts w:hint="eastAsia" w:ascii="仿宋" w:hAnsi="仿宋" w:eastAsia="仿宋" w:cs="仿宋_GB2312"/>
          <w:color w:val="333333"/>
          <w:sz w:val="32"/>
          <w:szCs w:val="32"/>
          <w:shd w:val="clear" w:color="auto" w:fill="FFFFFF"/>
          <w:lang w:val="en-US" w:eastAsia="zh-CN"/>
        </w:rPr>
        <w:t>8</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5.2社会服务………………………………………………………3</w:t>
      </w:r>
      <w:r>
        <w:rPr>
          <w:rFonts w:hint="eastAsia" w:ascii="仿宋" w:hAnsi="仿宋" w:eastAsia="仿宋" w:cs="仿宋_GB2312"/>
          <w:color w:val="333333"/>
          <w:sz w:val="32"/>
          <w:szCs w:val="32"/>
          <w:shd w:val="clear" w:color="auto" w:fill="FFFFFF"/>
          <w:lang w:val="en-US" w:eastAsia="zh-CN"/>
        </w:rPr>
        <w:t>9</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5.2.1培训服务……………………………………………………3</w:t>
      </w:r>
      <w:r>
        <w:rPr>
          <w:rFonts w:hint="eastAsia" w:ascii="仿宋" w:hAnsi="仿宋" w:eastAsia="仿宋" w:cs="仿宋_GB2312"/>
          <w:color w:val="333333"/>
          <w:sz w:val="32"/>
          <w:szCs w:val="32"/>
          <w:shd w:val="clear" w:color="auto" w:fill="FFFFFF"/>
          <w:lang w:val="en-US" w:eastAsia="zh-CN"/>
        </w:rPr>
        <w:t>9</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5.2.2技术服务……………………………………………………</w:t>
      </w:r>
      <w:r>
        <w:rPr>
          <w:rFonts w:hint="eastAsia" w:ascii="仿宋" w:hAnsi="仿宋" w:eastAsia="仿宋" w:cs="仿宋_GB2312"/>
          <w:color w:val="333333"/>
          <w:sz w:val="32"/>
          <w:szCs w:val="32"/>
          <w:shd w:val="clear" w:color="auto" w:fill="FFFFFF"/>
          <w:lang w:val="en-US" w:eastAsia="zh-CN"/>
        </w:rPr>
        <w:t>40</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5.2.3文化传承……………………………………………………</w:t>
      </w:r>
      <w:r>
        <w:rPr>
          <w:rFonts w:hint="eastAsia" w:ascii="仿宋" w:hAnsi="仿宋" w:eastAsia="仿宋" w:cs="仿宋_GB2312"/>
          <w:color w:val="333333"/>
          <w:sz w:val="32"/>
          <w:szCs w:val="32"/>
          <w:shd w:val="clear" w:color="auto" w:fill="FFFFFF"/>
          <w:lang w:val="en-US" w:eastAsia="zh-CN"/>
        </w:rPr>
        <w:t>42</w:t>
      </w:r>
    </w:p>
    <w:p>
      <w:pPr>
        <w:numPr>
          <w:ilvl w:val="0"/>
          <w:numId w:val="1"/>
        </w:numPr>
        <w:tabs>
          <w:tab w:val="clear" w:pos="312"/>
        </w:tabs>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举办者履行 ……………………………………………………</w:t>
      </w:r>
      <w:r>
        <w:rPr>
          <w:rFonts w:hint="eastAsia" w:ascii="仿宋" w:hAnsi="仿宋" w:eastAsia="仿宋" w:cs="仿宋_GB2312"/>
          <w:color w:val="333333"/>
          <w:sz w:val="32"/>
          <w:szCs w:val="32"/>
          <w:shd w:val="clear" w:color="auto" w:fill="FFFFFF"/>
          <w:lang w:val="en-US" w:eastAsia="zh-CN"/>
        </w:rPr>
        <w:t>42</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6.1经费……………………………………………………………</w:t>
      </w:r>
      <w:r>
        <w:rPr>
          <w:rFonts w:hint="eastAsia" w:ascii="仿宋" w:hAnsi="仿宋" w:eastAsia="仿宋" w:cs="仿宋_GB2312"/>
          <w:color w:val="333333"/>
          <w:sz w:val="32"/>
          <w:szCs w:val="32"/>
          <w:shd w:val="clear" w:color="auto" w:fill="FFFFFF"/>
          <w:lang w:val="en-US" w:eastAsia="zh-CN"/>
        </w:rPr>
        <w:t>42</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6.1.1政策性经费落实情况………………………………………</w:t>
      </w:r>
      <w:r>
        <w:rPr>
          <w:rFonts w:hint="eastAsia" w:ascii="仿宋" w:hAnsi="仿宋" w:eastAsia="仿宋" w:cs="仿宋_GB2312"/>
          <w:color w:val="333333"/>
          <w:sz w:val="32"/>
          <w:szCs w:val="32"/>
          <w:shd w:val="clear" w:color="auto" w:fill="FFFFFF"/>
          <w:lang w:val="en-US" w:eastAsia="zh-CN"/>
        </w:rPr>
        <w:t>42</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6.1.2生均拨款……………………………………………………</w:t>
      </w:r>
      <w:r>
        <w:rPr>
          <w:rFonts w:hint="eastAsia" w:ascii="仿宋" w:hAnsi="仿宋" w:eastAsia="仿宋" w:cs="仿宋_GB2312"/>
          <w:color w:val="333333"/>
          <w:sz w:val="32"/>
          <w:szCs w:val="32"/>
          <w:shd w:val="clear" w:color="auto" w:fill="FFFFFF"/>
          <w:lang w:val="en-US" w:eastAsia="zh-CN"/>
        </w:rPr>
        <w:t>43</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6.1.3项目投入……………………………………………………</w:t>
      </w:r>
      <w:r>
        <w:rPr>
          <w:rFonts w:hint="eastAsia" w:ascii="仿宋" w:hAnsi="仿宋" w:eastAsia="仿宋" w:cs="仿宋_GB2312"/>
          <w:color w:val="333333"/>
          <w:sz w:val="32"/>
          <w:szCs w:val="32"/>
          <w:shd w:val="clear" w:color="auto" w:fill="FFFFFF"/>
          <w:lang w:val="en-US" w:eastAsia="zh-CN"/>
        </w:rPr>
        <w:t>43</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6.2政策措施………………………………………………………</w:t>
      </w:r>
      <w:r>
        <w:rPr>
          <w:rFonts w:hint="eastAsia" w:ascii="仿宋" w:hAnsi="仿宋" w:eastAsia="仿宋" w:cs="仿宋_GB2312"/>
          <w:color w:val="333333"/>
          <w:sz w:val="32"/>
          <w:szCs w:val="32"/>
          <w:shd w:val="clear" w:color="auto" w:fill="FFFFFF"/>
          <w:lang w:val="en-US" w:eastAsia="zh-CN"/>
        </w:rPr>
        <w:t>43</w:t>
      </w:r>
    </w:p>
    <w:p>
      <w:pPr>
        <w:numPr>
          <w:ilvl w:val="0"/>
          <w:numId w:val="1"/>
        </w:numPr>
        <w:tabs>
          <w:tab w:val="clear" w:pos="312"/>
        </w:tabs>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特色创新 ………………………………………………………4</w:t>
      </w:r>
      <w:r>
        <w:rPr>
          <w:rFonts w:hint="eastAsia" w:ascii="仿宋" w:hAnsi="仿宋" w:eastAsia="仿宋" w:cs="仿宋_GB2312"/>
          <w:color w:val="333333"/>
          <w:sz w:val="32"/>
          <w:szCs w:val="32"/>
          <w:shd w:val="clear" w:color="auto" w:fill="FFFFFF"/>
          <w:lang w:val="en-US" w:eastAsia="zh-CN"/>
        </w:rPr>
        <w:t>4</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特色案例一…………………………………………………………4</w:t>
      </w:r>
      <w:r>
        <w:rPr>
          <w:rFonts w:hint="eastAsia" w:ascii="仿宋" w:hAnsi="仿宋" w:eastAsia="仿宋" w:cs="仿宋_GB2312"/>
          <w:color w:val="333333"/>
          <w:sz w:val="32"/>
          <w:szCs w:val="32"/>
          <w:shd w:val="clear" w:color="auto" w:fill="FFFFFF"/>
          <w:lang w:val="en-US" w:eastAsia="zh-CN"/>
        </w:rPr>
        <w:t>4</w:t>
      </w:r>
    </w:p>
    <w:p>
      <w:pPr>
        <w:rPr>
          <w:rFonts w:hint="eastAsia" w:ascii="仿宋" w:hAnsi="仿宋" w:eastAsia="仿宋" w:cs="仿宋_GB2312"/>
          <w:color w:val="333333"/>
          <w:sz w:val="32"/>
          <w:szCs w:val="32"/>
          <w:shd w:val="clear" w:color="auto" w:fill="FFFFFF"/>
          <w:lang w:eastAsia="zh-CN"/>
        </w:rPr>
      </w:pPr>
      <w:r>
        <w:rPr>
          <w:rFonts w:hint="eastAsia" w:ascii="仿宋" w:hAnsi="仿宋" w:eastAsia="仿宋" w:cs="仿宋_GB2312"/>
          <w:color w:val="333333"/>
          <w:sz w:val="32"/>
          <w:szCs w:val="32"/>
          <w:shd w:val="clear" w:color="auto" w:fill="FFFFFF"/>
        </w:rPr>
        <w:t>特色案例二…………………………………………………………4</w:t>
      </w:r>
      <w:r>
        <w:rPr>
          <w:rFonts w:hint="eastAsia" w:ascii="仿宋" w:hAnsi="仿宋" w:eastAsia="仿宋" w:cs="仿宋_GB2312"/>
          <w:color w:val="333333"/>
          <w:sz w:val="32"/>
          <w:szCs w:val="32"/>
          <w:shd w:val="clear" w:color="auto" w:fill="FFFFFF"/>
          <w:lang w:val="en-US" w:eastAsia="zh-CN"/>
        </w:rPr>
        <w:t>7</w:t>
      </w:r>
    </w:p>
    <w:p>
      <w:pPr>
        <w:rPr>
          <w:rFonts w:hint="eastAsia" w:ascii="仿宋" w:hAnsi="仿宋" w:eastAsia="仿宋" w:cs="仿宋_GB2312"/>
          <w:color w:val="333333"/>
          <w:sz w:val="32"/>
          <w:szCs w:val="32"/>
          <w:shd w:val="clear" w:color="auto" w:fill="FFFFFF"/>
          <w:lang w:val="en-US" w:eastAsia="zh-CN"/>
        </w:rPr>
      </w:pPr>
      <w:r>
        <w:rPr>
          <w:rFonts w:hint="eastAsia" w:ascii="仿宋" w:hAnsi="仿宋" w:eastAsia="仿宋" w:cs="仿宋_GB2312"/>
          <w:color w:val="333333"/>
          <w:sz w:val="32"/>
          <w:szCs w:val="32"/>
          <w:shd w:val="clear" w:color="auto" w:fill="FFFFFF"/>
        </w:rPr>
        <w:t>8.主要问题和改进措施……………………………………………</w:t>
      </w:r>
      <w:r>
        <w:rPr>
          <w:rFonts w:hint="eastAsia" w:ascii="仿宋" w:hAnsi="仿宋" w:eastAsia="仿宋" w:cs="仿宋_GB2312"/>
          <w:color w:val="333333"/>
          <w:sz w:val="32"/>
          <w:szCs w:val="32"/>
          <w:shd w:val="clear" w:color="auto" w:fill="FFFFFF"/>
          <w:lang w:val="en-US" w:eastAsia="zh-CN"/>
        </w:rPr>
        <w:t>50</w:t>
      </w:r>
    </w:p>
    <w:p>
      <w:pPr>
        <w:rPr>
          <w:rFonts w:ascii="仿宋_GB2312" w:hAnsi="仿宋_GB2312" w:eastAsia="仿宋_GB2312" w:cs="仿宋_GB2312"/>
          <w:color w:val="333333"/>
          <w:sz w:val="32"/>
          <w:szCs w:val="32"/>
          <w:shd w:val="clear" w:color="auto" w:fill="FFFFFF"/>
        </w:rPr>
      </w:pPr>
    </w:p>
    <w:p>
      <w:pPr>
        <w:rPr>
          <w:rFonts w:ascii="仿宋_GB2312" w:hAnsi="仿宋_GB2312" w:eastAsia="仿宋_GB2312" w:cs="仿宋_GB2312"/>
          <w:color w:val="333333"/>
          <w:sz w:val="32"/>
          <w:szCs w:val="32"/>
          <w:shd w:val="clear" w:color="auto" w:fill="FFFFFF"/>
        </w:rPr>
      </w:pPr>
    </w:p>
    <w:p>
      <w:pPr>
        <w:ind w:firstLine="640" w:firstLineChars="200"/>
        <w:rPr>
          <w:rFonts w:ascii="仿宋_GB2312" w:hAnsi="仿宋_GB2312" w:eastAsia="仿宋_GB2312" w:cs="仿宋_GB2312"/>
          <w:color w:val="333333"/>
          <w:sz w:val="32"/>
          <w:szCs w:val="32"/>
          <w:shd w:val="clear" w:color="auto" w:fill="FFFFFF"/>
        </w:rPr>
      </w:pPr>
    </w:p>
    <w:p>
      <w:pPr>
        <w:rPr>
          <w:rFonts w:asciiTheme="majorEastAsia" w:hAnsiTheme="majorEastAsia" w:eastAsiaTheme="majorEastAsia" w:cstheme="majorEastAsia"/>
          <w:b/>
          <w:bCs/>
          <w:sz w:val="44"/>
          <w:szCs w:val="44"/>
        </w:rPr>
        <w:sectPr>
          <w:footerReference r:id="rId5" w:type="default"/>
          <w:pgSz w:w="11906" w:h="16838"/>
          <w:pgMar w:top="1213" w:right="1406" w:bottom="986" w:left="1519" w:header="851" w:footer="992" w:gutter="0"/>
          <w:pgBorders>
            <w:top w:val="none" w:sz="0" w:space="0"/>
            <w:left w:val="none" w:sz="0" w:space="0"/>
            <w:bottom w:val="none" w:sz="0" w:space="0"/>
            <w:right w:val="none" w:sz="0" w:space="0"/>
          </w:pgBorders>
          <w:pgNumType w:start="1"/>
          <w:cols w:space="0" w:num="1"/>
          <w:docGrid w:type="lines" w:linePitch="312" w:charSpace="0"/>
        </w:sectPr>
      </w:pPr>
    </w:p>
    <w:p>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宽城满族自治县职业技术教育中心</w:t>
      </w:r>
    </w:p>
    <w:p>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201</w:t>
      </w:r>
      <w:r>
        <w:rPr>
          <w:rFonts w:hint="eastAsia" w:asciiTheme="majorEastAsia" w:hAnsiTheme="majorEastAsia" w:eastAsiaTheme="majorEastAsia" w:cstheme="majorEastAsia"/>
          <w:b/>
          <w:bCs/>
          <w:sz w:val="44"/>
          <w:szCs w:val="44"/>
          <w:lang w:val="en-US" w:eastAsia="zh-CN"/>
        </w:rPr>
        <w:t>8</w:t>
      </w:r>
      <w:r>
        <w:rPr>
          <w:rFonts w:hint="eastAsia" w:asciiTheme="majorEastAsia" w:hAnsiTheme="majorEastAsia" w:eastAsiaTheme="majorEastAsia" w:cstheme="majorEastAsia"/>
          <w:b/>
          <w:bCs/>
          <w:sz w:val="44"/>
          <w:szCs w:val="44"/>
        </w:rPr>
        <w:t>年质量年度报告</w:t>
      </w:r>
    </w:p>
    <w:p>
      <w:pPr>
        <w:rPr>
          <w:rFonts w:ascii="黑体" w:hAnsi="黑体" w:eastAsia="黑体" w:cs="黑体"/>
          <w:sz w:val="32"/>
          <w:szCs w:val="32"/>
        </w:rPr>
      </w:pPr>
      <w:r>
        <w:rPr>
          <w:rFonts w:hint="eastAsia" w:ascii="黑体" w:hAnsi="黑体" w:eastAsia="黑体" w:cs="黑体"/>
          <w:sz w:val="32"/>
          <w:szCs w:val="32"/>
        </w:rPr>
        <w:t>1.学校情况</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1.1学校概况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333333"/>
          <w:sz w:val="32"/>
          <w:szCs w:val="32"/>
          <w:shd w:val="clear" w:color="auto" w:fill="FFFFFF"/>
        </w:rPr>
        <w:t>宽城职教中心是一所集普通、职业中专、短期培训为一体的中等职业学校，学校建于1993年4月,是河北省重点中等职业学校，</w:t>
      </w:r>
      <w:r>
        <w:rPr>
          <w:rFonts w:hint="eastAsia" w:ascii="仿宋_GB2312" w:hAnsi="仿宋_GB2312" w:eastAsia="仿宋_GB2312" w:cs="仿宋_GB2312"/>
          <w:sz w:val="32"/>
          <w:szCs w:val="32"/>
        </w:rPr>
        <w:t>120所中等职业教育质量提升工程项目校的名牌学校</w:t>
      </w:r>
      <w:r>
        <w:rPr>
          <w:rFonts w:hint="eastAsia"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sz w:val="32"/>
          <w:szCs w:val="32"/>
        </w:rPr>
        <w:t>2012年9月，学校整体搬迁至北局子教育园区新校址。学校占地</w:t>
      </w:r>
      <w:r>
        <w:rPr>
          <w:rFonts w:hint="eastAsia" w:ascii="仿宋_GB2312" w:hAnsi="仿宋_GB2312" w:eastAsia="仿宋_GB2312" w:cs="仿宋_GB2312"/>
          <w:sz w:val="32"/>
          <w:szCs w:val="32"/>
          <w:lang w:val="en-US" w:eastAsia="zh-CN"/>
        </w:rPr>
        <w:t>132.35</w:t>
      </w:r>
      <w:r>
        <w:rPr>
          <w:rFonts w:hint="eastAsia" w:ascii="仿宋_GB2312" w:hAnsi="仿宋_GB2312" w:eastAsia="仿宋_GB2312" w:cs="仿宋_GB2312"/>
          <w:sz w:val="32"/>
          <w:szCs w:val="32"/>
        </w:rPr>
        <w:t>亩，建筑面积</w:t>
      </w:r>
      <w:r>
        <w:rPr>
          <w:rFonts w:hint="eastAsia" w:ascii="仿宋_GB2312" w:hAnsi="仿宋_GB2312" w:eastAsia="仿宋_GB2312" w:cs="仿宋_GB2312"/>
          <w:sz w:val="32"/>
          <w:szCs w:val="32"/>
          <w:lang w:val="en-US" w:eastAsia="zh-CN"/>
        </w:rPr>
        <w:t>44021</w:t>
      </w:r>
      <w:r>
        <w:rPr>
          <w:rFonts w:hint="eastAsia" w:ascii="仿宋_GB2312" w:hAnsi="仿宋_GB2312" w:eastAsia="仿宋_GB2312" w:cs="仿宋_GB2312"/>
          <w:sz w:val="32"/>
          <w:szCs w:val="32"/>
        </w:rPr>
        <w:t>平方米。包括教学楼两栋，综合楼一栋，实验楼一栋，实训楼一栋，餐厅一座，学生公寓楼两栋，图书馆一个，实训基地一个，公用体育馆一座。教学设备总价值</w:t>
      </w:r>
      <w:r>
        <w:rPr>
          <w:rFonts w:hint="eastAsia" w:ascii="仿宋_GB2312" w:hAnsi="仿宋_GB2312" w:eastAsia="仿宋_GB2312" w:cs="仿宋_GB2312"/>
          <w:sz w:val="32"/>
          <w:szCs w:val="32"/>
          <w:lang w:val="en-US" w:eastAsia="zh-CN"/>
        </w:rPr>
        <w:t>3577</w:t>
      </w:r>
      <w:r>
        <w:rPr>
          <w:rFonts w:hint="eastAsia" w:ascii="仿宋_GB2312" w:hAnsi="仿宋_GB2312" w:eastAsia="仿宋_GB2312" w:cs="仿宋_GB2312"/>
          <w:sz w:val="32"/>
          <w:szCs w:val="32"/>
        </w:rPr>
        <w:t>万元。</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86425" cy="3230880"/>
            <wp:effectExtent l="0" t="0" r="9525" b="7620"/>
            <wp:docPr id="2" name="图片 2" descr="学校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校设施"/>
                    <pic:cNvPicPr>
                      <a:picLocks noChangeAspect="1"/>
                    </pic:cNvPicPr>
                  </pic:nvPicPr>
                  <pic:blipFill>
                    <a:blip r:embed="rId9" cstate="print"/>
                    <a:stretch>
                      <a:fillRect/>
                    </a:stretch>
                  </pic:blipFill>
                  <pic:spPr>
                    <a:xfrm>
                      <a:off x="0" y="0"/>
                      <a:ext cx="5686425" cy="3230880"/>
                    </a:xfrm>
                    <a:prstGeom prst="rect">
                      <a:avLst/>
                    </a:prstGeom>
                  </pic:spPr>
                </pic:pic>
              </a:graphicData>
            </a:graphic>
          </wp:inline>
        </w:drawing>
      </w:r>
    </w:p>
    <w:p>
      <w:pPr>
        <w:jc w:val="center"/>
        <w:rPr>
          <w:rFonts w:ascii="仿宋_GB2312" w:hAnsi="仿宋_GB2312" w:eastAsia="仿宋_GB2312" w:cs="仿宋_GB2312"/>
          <w:sz w:val="32"/>
          <w:szCs w:val="32"/>
        </w:rPr>
      </w:pPr>
      <w:r>
        <w:rPr>
          <w:rFonts w:hint="eastAsia" w:ascii="华文新魏" w:hAnsi="华文新魏" w:eastAsia="华文新魏" w:cs="华文新魏"/>
          <w:sz w:val="32"/>
          <w:szCs w:val="32"/>
        </w:rPr>
        <w:t>学校设施</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ascii="华文新魏" w:hAnsi="华文新魏" w:eastAsia="华文新魏" w:cs="华文新魏"/>
          <w:sz w:val="32"/>
          <w:szCs w:val="32"/>
        </w:rPr>
      </w:pPr>
      <w:r>
        <w:rPr>
          <w:rFonts w:hint="eastAsia" w:ascii="仿宋_GB2312" w:hAnsi="仿宋_GB2312" w:eastAsia="仿宋_GB2312" w:cs="仿宋_GB2312"/>
          <w:sz w:val="32"/>
          <w:szCs w:val="32"/>
        </w:rPr>
        <w:t>学校被河北省教育厅、河北省人力资源和社会保障厅、河北总工会联合授予“河北省教育系统先进集体”，</w:t>
      </w:r>
      <w:r>
        <w:rPr>
          <w:rFonts w:hint="eastAsia" w:ascii="仿宋" w:hAnsi="仿宋" w:eastAsia="仿宋" w:cs="仿宋_GB2312"/>
          <w:sz w:val="32"/>
          <w:szCs w:val="32"/>
        </w:rPr>
        <w:t>被评为</w:t>
      </w:r>
      <w:r>
        <w:rPr>
          <w:rFonts w:hint="eastAsia" w:ascii="仿宋" w:hAnsi="仿宋" w:eastAsia="仿宋" w:cs="仿宋_GB2312"/>
          <w:color w:val="333333"/>
          <w:sz w:val="32"/>
          <w:szCs w:val="32"/>
          <w:shd w:val="clear" w:color="auto" w:fill="FFFFFF"/>
        </w:rPr>
        <w:t>“河北省中等职业学校德育工作先进单位”、“承德市社会治安综合治理先进单位”、“承德市五四红旗团委”，被县委县政府评为“教育工作实绩突出单位”、“安全管理先进单位”、“特色教育先进单位”</w:t>
      </w:r>
      <w:r>
        <w:rPr>
          <w:rFonts w:hint="eastAsia" w:ascii="仿宋" w:hAnsi="仿宋" w:eastAsia="仿宋"/>
          <w:sz w:val="32"/>
          <w:szCs w:val="32"/>
        </w:rPr>
        <w:t>。</w:t>
      </w:r>
      <w:r>
        <w:rPr>
          <w:rFonts w:hint="eastAsia" w:ascii="仿宋_GB2312" w:hAnsi="仿宋_GB2312" w:eastAsia="仿宋_GB2312" w:cs="仿宋_GB2312"/>
          <w:sz w:val="32"/>
          <w:szCs w:val="32"/>
        </w:rPr>
        <w:t xml:space="preserve"> </w:t>
      </w:r>
      <w:r>
        <w:rPr>
          <w:rFonts w:hint="eastAsia" w:ascii="华文新魏" w:hAnsi="华文新魏" w:eastAsia="华文新魏" w:cs="华文新魏"/>
          <w:sz w:val="32"/>
          <w:szCs w:val="32"/>
        </w:rPr>
        <w:t xml:space="preserve"> </w:t>
      </w:r>
    </w:p>
    <w:p>
      <w:pPr>
        <w:rPr>
          <w:rFonts w:hint="eastAsia" w:ascii="华文新魏" w:hAnsi="华文新魏" w:eastAsia="华文新魏" w:cs="华文新魏"/>
          <w:sz w:val="32"/>
          <w:szCs w:val="32"/>
          <w:lang w:eastAsia="zh-CN"/>
        </w:rPr>
      </w:pPr>
      <w:r>
        <w:rPr>
          <w:rFonts w:hint="eastAsia" w:ascii="华文新魏" w:hAnsi="华文新魏" w:eastAsia="华文新魏" w:cs="华文新魏"/>
          <w:sz w:val="32"/>
          <w:szCs w:val="32"/>
          <w:lang w:eastAsia="zh-CN"/>
        </w:rPr>
        <w:drawing>
          <wp:inline distT="0" distB="0" distL="114300" distR="114300">
            <wp:extent cx="5932805" cy="4210685"/>
            <wp:effectExtent l="0" t="0" r="10795" b="18415"/>
            <wp:docPr id="11" name="图片 11" descr="红旗团委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红旗团委_副本"/>
                    <pic:cNvPicPr>
                      <a:picLocks noChangeAspect="1"/>
                    </pic:cNvPicPr>
                  </pic:nvPicPr>
                  <pic:blipFill>
                    <a:blip r:embed="rId10"/>
                    <a:stretch>
                      <a:fillRect/>
                    </a:stretch>
                  </pic:blipFill>
                  <pic:spPr>
                    <a:xfrm>
                      <a:off x="0" y="0"/>
                      <a:ext cx="5932805" cy="4210685"/>
                    </a:xfrm>
                    <a:prstGeom prst="rect">
                      <a:avLst/>
                    </a:prstGeom>
                  </pic:spPr>
                </pic:pic>
              </a:graphicData>
            </a:graphic>
          </wp:inline>
        </w:drawing>
      </w:r>
    </w:p>
    <w:p>
      <w:pPr>
        <w:jc w:val="center"/>
        <w:rPr>
          <w:rFonts w:ascii="华文新魏" w:hAnsi="华文新魏" w:eastAsia="华文新魏" w:cs="华文新魏"/>
          <w:sz w:val="32"/>
          <w:szCs w:val="32"/>
        </w:rPr>
      </w:pPr>
      <w:r>
        <w:rPr>
          <w:rFonts w:hint="eastAsia" w:ascii="华文新魏" w:hAnsi="华文新魏" w:eastAsia="华文新魏" w:cs="华文新魏"/>
          <w:sz w:val="32"/>
          <w:szCs w:val="32"/>
        </w:rPr>
        <w:t>学校荣誉</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1.2学生情况</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1.2.1招生规模</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学校加强学校管理，努力提升办学质量和水平，注重学校内涵建设，经过</w:t>
      </w:r>
      <w:r>
        <w:rPr>
          <w:rFonts w:hint="eastAsia" w:ascii="仿宋_GB2312" w:hAnsi="仿宋_GB2312" w:eastAsia="仿宋_GB2312" w:cs="仿宋_GB2312"/>
          <w:color w:val="333333"/>
          <w:sz w:val="32"/>
          <w:szCs w:val="32"/>
          <w:shd w:val="clear" w:color="auto" w:fill="FFFFFF"/>
          <w:lang w:val="en-US" w:eastAsia="zh-CN"/>
        </w:rPr>
        <w:t>6</w:t>
      </w:r>
      <w:r>
        <w:rPr>
          <w:rFonts w:hint="eastAsia" w:ascii="仿宋_GB2312" w:hAnsi="仿宋_GB2312" w:eastAsia="仿宋_GB2312" w:cs="仿宋_GB2312"/>
          <w:color w:val="333333"/>
          <w:sz w:val="32"/>
          <w:szCs w:val="32"/>
          <w:shd w:val="clear" w:color="auto" w:fill="FFFFFF"/>
        </w:rPr>
        <w:t>年来共同努力，学校面貌焕然一新，社会认可度不断提高。学校十分重视招生工作，规划招生宣传策略，深入各中学进行招生宣讲，实现了招生人数的</w:t>
      </w:r>
      <w:r>
        <w:rPr>
          <w:rFonts w:hint="eastAsia" w:ascii="仿宋_GB2312" w:hAnsi="仿宋_GB2312" w:eastAsia="仿宋_GB2312" w:cs="仿宋_GB2312"/>
          <w:color w:val="333333"/>
          <w:sz w:val="32"/>
          <w:szCs w:val="32"/>
          <w:shd w:val="clear" w:color="auto" w:fill="FFFFFF"/>
          <w:lang w:val="en-US" w:eastAsia="zh-CN"/>
        </w:rPr>
        <w:t>6</w:t>
      </w:r>
      <w:r>
        <w:rPr>
          <w:rFonts w:hint="eastAsia" w:ascii="仿宋_GB2312" w:hAnsi="仿宋_GB2312" w:eastAsia="仿宋_GB2312" w:cs="仿宋_GB2312"/>
          <w:color w:val="333333"/>
          <w:sz w:val="32"/>
          <w:szCs w:val="32"/>
          <w:shd w:val="clear" w:color="auto" w:fill="FFFFFF"/>
        </w:rPr>
        <w:t>连增，从普招向优招转变。 2017年</w:t>
      </w:r>
      <w:r>
        <w:rPr>
          <w:rFonts w:hint="eastAsia" w:ascii="仿宋_GB2312" w:hAnsi="仿宋_GB2312" w:eastAsia="仿宋_GB2312" w:cs="仿宋_GB2312"/>
          <w:color w:val="333333"/>
          <w:sz w:val="32"/>
          <w:szCs w:val="32"/>
          <w:shd w:val="clear" w:color="auto" w:fill="FFFFFF"/>
          <w:lang w:val="en-US" w:eastAsia="zh-CN"/>
        </w:rPr>
        <w:t>招生</w:t>
      </w:r>
      <w:r>
        <w:rPr>
          <w:rFonts w:hint="eastAsia" w:ascii="仿宋_GB2312" w:hAnsi="仿宋_GB2312" w:eastAsia="仿宋_GB2312" w:cs="仿宋_GB2312"/>
          <w:color w:val="333333"/>
          <w:sz w:val="32"/>
          <w:szCs w:val="32"/>
          <w:shd w:val="clear" w:color="auto" w:fill="FFFFFF"/>
        </w:rPr>
        <w:t>756人</w:t>
      </w:r>
      <w:r>
        <w:rPr>
          <w:rFonts w:hint="eastAsia" w:ascii="仿宋_GB2312" w:hAnsi="仿宋_GB2312" w:eastAsia="仿宋_GB2312" w:cs="仿宋_GB2312"/>
          <w:color w:val="333333"/>
          <w:sz w:val="32"/>
          <w:szCs w:val="32"/>
          <w:shd w:val="clear" w:color="auto" w:fill="FFFFFF"/>
          <w:lang w:eastAsia="zh-CN"/>
        </w:rPr>
        <w:t>，</w:t>
      </w:r>
      <w:r>
        <w:rPr>
          <w:rFonts w:hint="eastAsia" w:ascii="仿宋_GB2312" w:hAnsi="仿宋_GB2312" w:eastAsia="仿宋_GB2312" w:cs="仿宋_GB2312"/>
          <w:color w:val="333333"/>
          <w:sz w:val="32"/>
          <w:szCs w:val="32"/>
          <w:shd w:val="clear" w:color="auto" w:fill="FFFFFF"/>
          <w:lang w:val="en-US" w:eastAsia="zh-CN"/>
        </w:rPr>
        <w:t>2018年招生824人</w:t>
      </w:r>
      <w:r>
        <w:rPr>
          <w:rFonts w:hint="eastAsia" w:ascii="仿宋_GB2312" w:hAnsi="仿宋_GB2312" w:eastAsia="仿宋_GB2312" w:cs="仿宋_GB2312"/>
          <w:color w:val="333333"/>
          <w:sz w:val="32"/>
          <w:szCs w:val="32"/>
          <w:shd w:val="clear" w:color="auto" w:fill="FFFFFF"/>
        </w:rPr>
        <w:t>。</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1.2.2专业分布</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学校开设机电技术应用、农村电气技术、会计电算化、农村经济综合管理、现代林业技术、果蔬花卉生产技术、计算机应用、电气技术应用、旅游服务与管理、电子商务等</w:t>
      </w:r>
      <w:r>
        <w:rPr>
          <w:rFonts w:hint="eastAsia" w:ascii="仿宋_GB2312" w:hAnsi="仿宋_GB2312" w:eastAsia="仿宋_GB2312" w:cs="仿宋_GB2312"/>
          <w:color w:val="333333"/>
          <w:sz w:val="32"/>
          <w:szCs w:val="32"/>
          <w:shd w:val="clear" w:color="auto" w:fill="FFFFFF"/>
          <w:lang w:val="en-US" w:eastAsia="zh-CN"/>
        </w:rPr>
        <w:t>7</w:t>
      </w:r>
      <w:r>
        <w:rPr>
          <w:rFonts w:hint="eastAsia" w:ascii="仿宋_GB2312" w:hAnsi="仿宋_GB2312" w:eastAsia="仿宋_GB2312" w:cs="仿宋_GB2312"/>
          <w:color w:val="333333"/>
          <w:sz w:val="32"/>
          <w:szCs w:val="32"/>
          <w:shd w:val="clear" w:color="auto" w:fill="FFFFFF"/>
        </w:rPr>
        <w:t>个专业。会计电算化和机电技术应用两个专业为省级骨干专业，现代林业技术为省级特色专业。</w:t>
      </w:r>
    </w:p>
    <w:p>
      <w:pPr>
        <w:rPr>
          <w:rFonts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表1</w:t>
      </w:r>
    </w:p>
    <w:tbl>
      <w:tblPr>
        <w:tblStyle w:val="10"/>
        <w:tblW w:w="8640" w:type="dxa"/>
        <w:tblInd w:w="0" w:type="dxa"/>
        <w:tblLayout w:type="fixed"/>
        <w:tblCellMar>
          <w:top w:w="15" w:type="dxa"/>
          <w:left w:w="15" w:type="dxa"/>
          <w:bottom w:w="15" w:type="dxa"/>
          <w:right w:w="15" w:type="dxa"/>
        </w:tblCellMar>
      </w:tblPr>
      <w:tblGrid>
        <w:gridCol w:w="4278"/>
        <w:gridCol w:w="4362"/>
      </w:tblGrid>
      <w:tr>
        <w:tblPrEx>
          <w:tblLayout w:type="fixed"/>
          <w:tblCellMar>
            <w:top w:w="15" w:type="dxa"/>
            <w:left w:w="15" w:type="dxa"/>
            <w:bottom w:w="15" w:type="dxa"/>
            <w:right w:w="15" w:type="dxa"/>
          </w:tblCellMar>
        </w:tblPrEx>
        <w:trPr>
          <w:trHeight w:val="283" w:hRule="exact"/>
        </w:trPr>
        <w:tc>
          <w:tcPr>
            <w:tcW w:w="8640" w:type="dxa"/>
            <w:gridSpan w:val="2"/>
            <w:tcBorders>
              <w:top w:val="nil"/>
              <w:left w:val="nil"/>
              <w:bottom w:val="single" w:color="000000" w:sz="4" w:space="0"/>
              <w:right w:val="nil"/>
            </w:tcBorders>
            <w:shd w:val="clear" w:color="auto" w:fill="auto"/>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2018年度专业分布</w:t>
            </w:r>
          </w:p>
        </w:tc>
      </w:tr>
      <w:tr>
        <w:tblPrEx>
          <w:tblLayout w:type="fixed"/>
          <w:tblCellMar>
            <w:top w:w="15" w:type="dxa"/>
            <w:left w:w="15" w:type="dxa"/>
            <w:bottom w:w="15" w:type="dxa"/>
            <w:right w:w="15" w:type="dxa"/>
          </w:tblCellMar>
        </w:tblPrEx>
        <w:trPr>
          <w:trHeight w:val="283" w:hRule="exact"/>
        </w:trPr>
        <w:tc>
          <w:tcPr>
            <w:tcW w:w="4278"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专业</w:t>
            </w:r>
          </w:p>
        </w:tc>
        <w:tc>
          <w:tcPr>
            <w:tcW w:w="4362"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人数</w:t>
            </w:r>
          </w:p>
        </w:tc>
      </w:tr>
      <w:tr>
        <w:tblPrEx>
          <w:tblLayout w:type="fixed"/>
          <w:tblCellMar>
            <w:top w:w="15" w:type="dxa"/>
            <w:left w:w="15" w:type="dxa"/>
            <w:bottom w:w="15" w:type="dxa"/>
            <w:right w:w="15" w:type="dxa"/>
          </w:tblCellMar>
        </w:tblPrEx>
        <w:trPr>
          <w:trHeight w:val="283" w:hRule="exact"/>
        </w:trPr>
        <w:tc>
          <w:tcPr>
            <w:tcW w:w="427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会计电算化</w:t>
            </w:r>
          </w:p>
        </w:tc>
        <w:tc>
          <w:tcPr>
            <w:tcW w:w="4362" w:type="dxa"/>
            <w:tcBorders>
              <w:top w:val="single" w:color="000000" w:sz="4" w:space="0"/>
              <w:left w:val="single" w:color="000000" w:sz="4" w:space="0"/>
              <w:bottom w:val="single" w:color="000000" w:sz="4" w:space="0"/>
              <w:right w:val="single" w:color="000000" w:sz="4" w:space="0"/>
            </w:tcBorders>
            <w:shd w:val="clear" w:color="auto" w:fill="92D050"/>
            <w:vAlign w:val="bottom"/>
          </w:tcPr>
          <w:p>
            <w:pPr>
              <w:keepNext w:val="0"/>
              <w:keepLines w:val="0"/>
              <w:widowControl/>
              <w:suppressLineNumbers w:val="0"/>
              <w:jc w:val="center"/>
              <w:textAlignment w:val="bottom"/>
              <w:rPr>
                <w:rFonts w:ascii="仿宋" w:hAnsi="仿宋" w:eastAsia="仿宋" w:cs="仿宋_GB2312"/>
                <w:color w:val="000000"/>
                <w:sz w:val="22"/>
                <w:szCs w:val="22"/>
              </w:rPr>
            </w:pPr>
            <w:r>
              <w:rPr>
                <w:rFonts w:hint="eastAsia" w:ascii="仿宋" w:hAnsi="仿宋" w:eastAsia="仿宋" w:cs="仿宋"/>
                <w:i w:val="0"/>
                <w:color w:val="000000"/>
                <w:kern w:val="0"/>
                <w:sz w:val="22"/>
                <w:szCs w:val="22"/>
                <w:u w:val="none"/>
                <w:lang w:val="en-US" w:eastAsia="zh-CN" w:bidi="ar"/>
              </w:rPr>
              <w:t>460</w:t>
            </w:r>
          </w:p>
        </w:tc>
      </w:tr>
      <w:tr>
        <w:tblPrEx>
          <w:tblLayout w:type="fixed"/>
          <w:tblCellMar>
            <w:top w:w="15" w:type="dxa"/>
            <w:left w:w="15" w:type="dxa"/>
            <w:bottom w:w="15" w:type="dxa"/>
            <w:right w:w="15" w:type="dxa"/>
          </w:tblCellMar>
        </w:tblPrEx>
        <w:trPr>
          <w:trHeight w:val="283" w:hRule="exact"/>
        </w:trPr>
        <w:tc>
          <w:tcPr>
            <w:tcW w:w="427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电子商务</w:t>
            </w:r>
          </w:p>
        </w:tc>
        <w:tc>
          <w:tcPr>
            <w:tcW w:w="4362" w:type="dxa"/>
            <w:tcBorders>
              <w:top w:val="single" w:color="000000" w:sz="4" w:space="0"/>
              <w:left w:val="single" w:color="000000" w:sz="4" w:space="0"/>
              <w:bottom w:val="single" w:color="000000" w:sz="4" w:space="0"/>
              <w:right w:val="single" w:color="000000" w:sz="4" w:space="0"/>
            </w:tcBorders>
            <w:shd w:val="clear" w:color="auto" w:fill="92D050"/>
            <w:vAlign w:val="bottom"/>
          </w:tcPr>
          <w:p>
            <w:pPr>
              <w:keepNext w:val="0"/>
              <w:keepLines w:val="0"/>
              <w:widowControl/>
              <w:suppressLineNumbers w:val="0"/>
              <w:jc w:val="center"/>
              <w:textAlignment w:val="bottom"/>
              <w:rPr>
                <w:rFonts w:ascii="仿宋" w:hAnsi="仿宋" w:eastAsia="仿宋" w:cs="仿宋_GB2312"/>
                <w:color w:val="000000"/>
                <w:sz w:val="22"/>
                <w:szCs w:val="22"/>
              </w:rPr>
            </w:pPr>
            <w:r>
              <w:rPr>
                <w:rFonts w:hint="eastAsia" w:ascii="仿宋" w:hAnsi="仿宋" w:eastAsia="仿宋" w:cs="仿宋"/>
                <w:i w:val="0"/>
                <w:color w:val="000000"/>
                <w:kern w:val="0"/>
                <w:sz w:val="22"/>
                <w:szCs w:val="22"/>
                <w:u w:val="none"/>
                <w:lang w:val="en-US" w:eastAsia="zh-CN" w:bidi="ar"/>
              </w:rPr>
              <w:t>100</w:t>
            </w:r>
          </w:p>
        </w:tc>
      </w:tr>
      <w:tr>
        <w:tblPrEx>
          <w:tblLayout w:type="fixed"/>
          <w:tblCellMar>
            <w:top w:w="15" w:type="dxa"/>
            <w:left w:w="15" w:type="dxa"/>
            <w:bottom w:w="15" w:type="dxa"/>
            <w:right w:w="15" w:type="dxa"/>
          </w:tblCellMar>
        </w:tblPrEx>
        <w:trPr>
          <w:trHeight w:val="283" w:hRule="exact"/>
        </w:trPr>
        <w:tc>
          <w:tcPr>
            <w:tcW w:w="427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旅游服务与管理</w:t>
            </w:r>
          </w:p>
        </w:tc>
        <w:tc>
          <w:tcPr>
            <w:tcW w:w="4362" w:type="dxa"/>
            <w:tcBorders>
              <w:top w:val="single" w:color="000000" w:sz="4" w:space="0"/>
              <w:left w:val="single" w:color="000000" w:sz="4" w:space="0"/>
              <w:bottom w:val="single" w:color="000000" w:sz="4" w:space="0"/>
              <w:right w:val="single" w:color="000000" w:sz="4" w:space="0"/>
            </w:tcBorders>
            <w:shd w:val="clear" w:color="auto" w:fill="92D050"/>
            <w:vAlign w:val="bottom"/>
          </w:tcPr>
          <w:p>
            <w:pPr>
              <w:keepNext w:val="0"/>
              <w:keepLines w:val="0"/>
              <w:widowControl/>
              <w:suppressLineNumbers w:val="0"/>
              <w:jc w:val="center"/>
              <w:textAlignment w:val="bottom"/>
              <w:rPr>
                <w:rFonts w:ascii="仿宋" w:hAnsi="仿宋" w:eastAsia="仿宋" w:cs="仿宋_GB2312"/>
                <w:color w:val="000000"/>
                <w:sz w:val="22"/>
                <w:szCs w:val="22"/>
              </w:rPr>
            </w:pPr>
            <w:r>
              <w:rPr>
                <w:rFonts w:hint="eastAsia" w:ascii="仿宋" w:hAnsi="仿宋" w:eastAsia="仿宋" w:cs="仿宋"/>
                <w:i w:val="0"/>
                <w:color w:val="000000"/>
                <w:kern w:val="0"/>
                <w:sz w:val="22"/>
                <w:szCs w:val="22"/>
                <w:u w:val="none"/>
                <w:lang w:val="en-US" w:eastAsia="zh-CN" w:bidi="ar"/>
              </w:rPr>
              <w:t>97</w:t>
            </w:r>
          </w:p>
        </w:tc>
      </w:tr>
      <w:tr>
        <w:tblPrEx>
          <w:tblLayout w:type="fixed"/>
          <w:tblCellMar>
            <w:top w:w="15" w:type="dxa"/>
            <w:left w:w="15" w:type="dxa"/>
            <w:bottom w:w="15" w:type="dxa"/>
            <w:right w:w="15" w:type="dxa"/>
          </w:tblCellMar>
        </w:tblPrEx>
        <w:trPr>
          <w:trHeight w:val="283" w:hRule="exact"/>
        </w:trPr>
        <w:tc>
          <w:tcPr>
            <w:tcW w:w="427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电气技术应用</w:t>
            </w:r>
          </w:p>
        </w:tc>
        <w:tc>
          <w:tcPr>
            <w:tcW w:w="4362" w:type="dxa"/>
            <w:tcBorders>
              <w:top w:val="single" w:color="000000" w:sz="4" w:space="0"/>
              <w:left w:val="single" w:color="000000" w:sz="4" w:space="0"/>
              <w:bottom w:val="single" w:color="000000" w:sz="4" w:space="0"/>
              <w:right w:val="single" w:color="000000" w:sz="4" w:space="0"/>
            </w:tcBorders>
            <w:shd w:val="clear" w:color="auto" w:fill="92D050"/>
            <w:vAlign w:val="bottom"/>
          </w:tcPr>
          <w:p>
            <w:pPr>
              <w:keepNext w:val="0"/>
              <w:keepLines w:val="0"/>
              <w:widowControl/>
              <w:suppressLineNumbers w:val="0"/>
              <w:jc w:val="center"/>
              <w:textAlignment w:val="bottom"/>
              <w:rPr>
                <w:rFonts w:ascii="仿宋" w:hAnsi="仿宋" w:eastAsia="仿宋" w:cs="仿宋_GB2312"/>
                <w:color w:val="000000"/>
                <w:sz w:val="22"/>
                <w:szCs w:val="22"/>
              </w:rPr>
            </w:pPr>
            <w:r>
              <w:rPr>
                <w:rFonts w:hint="eastAsia" w:ascii="仿宋" w:hAnsi="仿宋" w:eastAsia="仿宋" w:cs="仿宋"/>
                <w:i w:val="0"/>
                <w:color w:val="000000"/>
                <w:kern w:val="0"/>
                <w:sz w:val="22"/>
                <w:szCs w:val="22"/>
                <w:u w:val="none"/>
                <w:lang w:val="en-US" w:eastAsia="zh-CN" w:bidi="ar"/>
              </w:rPr>
              <w:t>244</w:t>
            </w:r>
          </w:p>
        </w:tc>
      </w:tr>
      <w:tr>
        <w:tblPrEx>
          <w:tblLayout w:type="fixed"/>
          <w:tblCellMar>
            <w:top w:w="15" w:type="dxa"/>
            <w:left w:w="15" w:type="dxa"/>
            <w:bottom w:w="15" w:type="dxa"/>
            <w:right w:w="15" w:type="dxa"/>
          </w:tblCellMar>
        </w:tblPrEx>
        <w:trPr>
          <w:trHeight w:val="283" w:hRule="exact"/>
        </w:trPr>
        <w:tc>
          <w:tcPr>
            <w:tcW w:w="427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现代林业技术</w:t>
            </w:r>
          </w:p>
        </w:tc>
        <w:tc>
          <w:tcPr>
            <w:tcW w:w="4362" w:type="dxa"/>
            <w:tcBorders>
              <w:top w:val="single" w:color="000000" w:sz="4" w:space="0"/>
              <w:left w:val="single" w:color="000000" w:sz="4" w:space="0"/>
              <w:bottom w:val="single" w:color="000000" w:sz="4" w:space="0"/>
              <w:right w:val="single" w:color="000000" w:sz="4" w:space="0"/>
            </w:tcBorders>
            <w:shd w:val="clear" w:color="auto" w:fill="92D050"/>
            <w:vAlign w:val="bottom"/>
          </w:tcPr>
          <w:p>
            <w:pPr>
              <w:keepNext w:val="0"/>
              <w:keepLines w:val="0"/>
              <w:widowControl/>
              <w:suppressLineNumbers w:val="0"/>
              <w:jc w:val="center"/>
              <w:textAlignment w:val="bottom"/>
              <w:rPr>
                <w:rFonts w:ascii="仿宋" w:hAnsi="仿宋" w:eastAsia="仿宋" w:cs="仿宋_GB2312"/>
                <w:color w:val="000000"/>
                <w:sz w:val="22"/>
                <w:szCs w:val="22"/>
              </w:rPr>
            </w:pPr>
            <w:r>
              <w:rPr>
                <w:rFonts w:hint="eastAsia" w:ascii="仿宋" w:hAnsi="仿宋" w:eastAsia="仿宋" w:cs="仿宋"/>
                <w:i w:val="0"/>
                <w:color w:val="000000"/>
                <w:kern w:val="0"/>
                <w:sz w:val="22"/>
                <w:szCs w:val="22"/>
                <w:u w:val="none"/>
                <w:lang w:val="en-US" w:eastAsia="zh-CN" w:bidi="ar"/>
              </w:rPr>
              <w:t>295</w:t>
            </w:r>
          </w:p>
        </w:tc>
      </w:tr>
      <w:tr>
        <w:tblPrEx>
          <w:tblLayout w:type="fixed"/>
          <w:tblCellMar>
            <w:top w:w="15" w:type="dxa"/>
            <w:left w:w="15" w:type="dxa"/>
            <w:bottom w:w="15" w:type="dxa"/>
            <w:right w:w="15" w:type="dxa"/>
          </w:tblCellMar>
        </w:tblPrEx>
        <w:trPr>
          <w:trHeight w:val="283" w:hRule="exact"/>
        </w:trPr>
        <w:tc>
          <w:tcPr>
            <w:tcW w:w="427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机电技术应用</w:t>
            </w:r>
          </w:p>
        </w:tc>
        <w:tc>
          <w:tcPr>
            <w:tcW w:w="4362" w:type="dxa"/>
            <w:tcBorders>
              <w:top w:val="single" w:color="000000" w:sz="4" w:space="0"/>
              <w:left w:val="single" w:color="000000" w:sz="4" w:space="0"/>
              <w:bottom w:val="single" w:color="000000" w:sz="4" w:space="0"/>
              <w:right w:val="single" w:color="000000" w:sz="4" w:space="0"/>
            </w:tcBorders>
            <w:shd w:val="clear" w:color="auto" w:fill="92D050"/>
            <w:vAlign w:val="bottom"/>
          </w:tcPr>
          <w:p>
            <w:pPr>
              <w:keepNext w:val="0"/>
              <w:keepLines w:val="0"/>
              <w:widowControl/>
              <w:suppressLineNumbers w:val="0"/>
              <w:jc w:val="center"/>
              <w:textAlignment w:val="bottom"/>
              <w:rPr>
                <w:rFonts w:ascii="仿宋" w:hAnsi="仿宋" w:eastAsia="仿宋" w:cs="仿宋_GB2312"/>
                <w:color w:val="000000"/>
                <w:sz w:val="22"/>
                <w:szCs w:val="22"/>
              </w:rPr>
            </w:pPr>
            <w:r>
              <w:rPr>
                <w:rFonts w:hint="eastAsia" w:ascii="仿宋" w:hAnsi="仿宋" w:eastAsia="仿宋" w:cs="仿宋"/>
                <w:i w:val="0"/>
                <w:color w:val="000000"/>
                <w:kern w:val="0"/>
                <w:sz w:val="22"/>
                <w:szCs w:val="22"/>
                <w:u w:val="none"/>
                <w:lang w:val="en-US" w:eastAsia="zh-CN" w:bidi="ar"/>
              </w:rPr>
              <w:t>513</w:t>
            </w:r>
          </w:p>
        </w:tc>
      </w:tr>
      <w:tr>
        <w:tblPrEx>
          <w:tblLayout w:type="fixed"/>
          <w:tblCellMar>
            <w:top w:w="15" w:type="dxa"/>
            <w:left w:w="15" w:type="dxa"/>
            <w:bottom w:w="15" w:type="dxa"/>
            <w:right w:w="15" w:type="dxa"/>
          </w:tblCellMar>
        </w:tblPrEx>
        <w:trPr>
          <w:trHeight w:val="283" w:hRule="exact"/>
        </w:trPr>
        <w:tc>
          <w:tcPr>
            <w:tcW w:w="427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计算机应用</w:t>
            </w:r>
          </w:p>
        </w:tc>
        <w:tc>
          <w:tcPr>
            <w:tcW w:w="4362" w:type="dxa"/>
            <w:tcBorders>
              <w:top w:val="single" w:color="000000" w:sz="4" w:space="0"/>
              <w:left w:val="single" w:color="000000" w:sz="4" w:space="0"/>
              <w:bottom w:val="single" w:color="000000" w:sz="4" w:space="0"/>
              <w:right w:val="single" w:color="000000" w:sz="4" w:space="0"/>
            </w:tcBorders>
            <w:shd w:val="clear" w:color="auto" w:fill="92D050"/>
            <w:vAlign w:val="bottom"/>
          </w:tcPr>
          <w:p>
            <w:pPr>
              <w:keepNext w:val="0"/>
              <w:keepLines w:val="0"/>
              <w:widowControl/>
              <w:suppressLineNumbers w:val="0"/>
              <w:jc w:val="center"/>
              <w:textAlignment w:val="bottom"/>
              <w:rPr>
                <w:rFonts w:ascii="仿宋" w:hAnsi="仿宋" w:eastAsia="仿宋" w:cs="仿宋_GB2312"/>
                <w:color w:val="000000"/>
                <w:sz w:val="22"/>
                <w:szCs w:val="22"/>
              </w:rPr>
            </w:pPr>
            <w:r>
              <w:rPr>
                <w:rFonts w:hint="eastAsia" w:ascii="仿宋" w:hAnsi="仿宋" w:eastAsia="仿宋" w:cs="仿宋"/>
                <w:i w:val="0"/>
                <w:color w:val="000000"/>
                <w:kern w:val="0"/>
                <w:sz w:val="22"/>
                <w:szCs w:val="22"/>
                <w:u w:val="none"/>
                <w:lang w:val="en-US" w:eastAsia="zh-CN" w:bidi="ar"/>
              </w:rPr>
              <w:t>410</w:t>
            </w:r>
          </w:p>
        </w:tc>
      </w:tr>
    </w:tbl>
    <w:p>
      <w:pPr>
        <w:rPr>
          <w:rFonts w:ascii="仿宋_GB2312" w:hAnsi="仿宋_GB2312" w:eastAsia="仿宋_GB2312" w:cs="仿宋_GB2312"/>
          <w:color w:val="333333"/>
          <w:szCs w:val="21"/>
          <w:shd w:val="clear" w:color="auto" w:fill="FFFFFF"/>
        </w:rPr>
      </w:pPr>
    </w:p>
    <w:p>
      <w:pPr>
        <w:rPr>
          <w:rFonts w:ascii="仿宋_GB2312" w:hAnsi="仿宋_GB2312" w:eastAsia="仿宋_GB2312" w:cs="仿宋_GB2312"/>
          <w:color w:val="333333"/>
          <w:sz w:val="32"/>
          <w:szCs w:val="32"/>
          <w:shd w:val="clear" w:color="auto" w:fill="FFFFFF"/>
        </w:rPr>
      </w:pPr>
      <w:r>
        <w:drawing>
          <wp:inline distT="0" distB="0" distL="114300" distR="114300">
            <wp:extent cx="5498465" cy="2533015"/>
            <wp:effectExtent l="4445" t="4445" r="21590" b="15240"/>
            <wp:docPr id="146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1.2.3在校生规模</w:t>
      </w:r>
    </w:p>
    <w:p>
      <w:pPr>
        <w:ind w:firstLine="640" w:firstLineChars="200"/>
        <w:jc w:val="left"/>
        <w:rPr>
          <w:rFonts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 w:val="32"/>
          <w:szCs w:val="32"/>
          <w:shd w:val="clear" w:color="auto" w:fill="FFFFFF"/>
        </w:rPr>
        <w:t>在校生规模不断增加，专业分布趋于合理，现有全日制在籍生</w:t>
      </w:r>
      <w:r>
        <w:rPr>
          <w:rFonts w:hint="eastAsia" w:ascii="仿宋_GB2312" w:hAnsi="仿宋_GB2312" w:eastAsia="仿宋_GB2312" w:cs="仿宋_GB2312"/>
          <w:color w:val="333333"/>
          <w:sz w:val="32"/>
          <w:szCs w:val="32"/>
          <w:shd w:val="clear" w:color="auto" w:fill="FFFFFF"/>
          <w:lang w:val="en-US" w:eastAsia="zh-CN"/>
        </w:rPr>
        <w:t>2119</w:t>
      </w:r>
      <w:r>
        <w:rPr>
          <w:rFonts w:hint="eastAsia" w:ascii="仿宋_GB2312" w:hAnsi="仿宋_GB2312" w:eastAsia="仿宋_GB2312" w:cs="仿宋_GB2312"/>
          <w:color w:val="333333"/>
          <w:sz w:val="32"/>
          <w:szCs w:val="32"/>
          <w:shd w:val="clear" w:color="auto" w:fill="FFFFFF"/>
        </w:rPr>
        <w:t>人。</w:t>
      </w:r>
    </w:p>
    <w:p>
      <w:pPr>
        <w:jc w:val="left"/>
        <w:rPr>
          <w:rFonts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表2</w:t>
      </w:r>
    </w:p>
    <w:tbl>
      <w:tblPr>
        <w:tblStyle w:val="10"/>
        <w:tblW w:w="8860" w:type="dxa"/>
        <w:tblInd w:w="0" w:type="dxa"/>
        <w:tblLayout w:type="fixed"/>
        <w:tblCellMar>
          <w:top w:w="15" w:type="dxa"/>
          <w:left w:w="15" w:type="dxa"/>
          <w:bottom w:w="15" w:type="dxa"/>
          <w:right w:w="15" w:type="dxa"/>
        </w:tblCellMar>
      </w:tblPr>
      <w:tblGrid>
        <w:gridCol w:w="1939"/>
        <w:gridCol w:w="2693"/>
        <w:gridCol w:w="1939"/>
        <w:gridCol w:w="2289"/>
      </w:tblGrid>
      <w:tr>
        <w:tblPrEx>
          <w:tblLayout w:type="fixed"/>
          <w:tblCellMar>
            <w:top w:w="15" w:type="dxa"/>
            <w:left w:w="15" w:type="dxa"/>
            <w:bottom w:w="15" w:type="dxa"/>
            <w:right w:w="15" w:type="dxa"/>
          </w:tblCellMar>
        </w:tblPrEx>
        <w:trPr>
          <w:trHeight w:val="283" w:hRule="exact"/>
        </w:trPr>
        <w:tc>
          <w:tcPr>
            <w:tcW w:w="4632" w:type="dxa"/>
            <w:gridSpan w:val="2"/>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2017年度在校生人数</w:t>
            </w:r>
          </w:p>
        </w:tc>
        <w:tc>
          <w:tcPr>
            <w:tcW w:w="4228" w:type="dxa"/>
            <w:gridSpan w:val="2"/>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2018年度在校生</w:t>
            </w:r>
          </w:p>
        </w:tc>
      </w:tr>
      <w:tr>
        <w:tblPrEx>
          <w:tblLayout w:type="fixed"/>
          <w:tblCellMar>
            <w:top w:w="15" w:type="dxa"/>
            <w:left w:w="15" w:type="dxa"/>
            <w:bottom w:w="15" w:type="dxa"/>
            <w:right w:w="15" w:type="dxa"/>
          </w:tblCellMar>
        </w:tblPrEx>
        <w:trPr>
          <w:trHeight w:val="283" w:hRule="exact"/>
        </w:trPr>
        <w:tc>
          <w:tcPr>
            <w:tcW w:w="193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年级</w:t>
            </w:r>
          </w:p>
        </w:tc>
        <w:tc>
          <w:tcPr>
            <w:tcW w:w="2693"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人数</w:t>
            </w:r>
          </w:p>
        </w:tc>
        <w:tc>
          <w:tcPr>
            <w:tcW w:w="193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sz w:val="22"/>
                <w:szCs w:val="22"/>
              </w:rPr>
              <w:t>年级</w:t>
            </w:r>
          </w:p>
        </w:tc>
        <w:tc>
          <w:tcPr>
            <w:tcW w:w="228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人数</w:t>
            </w:r>
          </w:p>
        </w:tc>
      </w:tr>
      <w:tr>
        <w:tblPrEx>
          <w:tblLayout w:type="fixed"/>
          <w:tblCellMar>
            <w:top w:w="15" w:type="dxa"/>
            <w:left w:w="15" w:type="dxa"/>
            <w:bottom w:w="15" w:type="dxa"/>
            <w:right w:w="15" w:type="dxa"/>
          </w:tblCellMar>
        </w:tblPrEx>
        <w:trPr>
          <w:trHeight w:val="283" w:hRule="exact"/>
        </w:trPr>
        <w:tc>
          <w:tcPr>
            <w:tcW w:w="193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15级</w:t>
            </w:r>
          </w:p>
        </w:tc>
        <w:tc>
          <w:tcPr>
            <w:tcW w:w="2693"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856</w:t>
            </w:r>
          </w:p>
        </w:tc>
        <w:tc>
          <w:tcPr>
            <w:tcW w:w="193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16级</w:t>
            </w:r>
          </w:p>
        </w:tc>
        <w:tc>
          <w:tcPr>
            <w:tcW w:w="228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hint="eastAsia" w:ascii="仿宋" w:hAnsi="仿宋" w:eastAsia="仿宋" w:cs="仿宋_GB2312"/>
                <w:color w:val="000000"/>
                <w:sz w:val="22"/>
                <w:szCs w:val="22"/>
                <w:lang w:val="en-US" w:eastAsia="zh-CN"/>
              </w:rPr>
            </w:pPr>
            <w:r>
              <w:rPr>
                <w:rFonts w:hint="eastAsia" w:ascii="仿宋" w:hAnsi="仿宋" w:eastAsia="仿宋" w:cs="仿宋_GB2312"/>
                <w:color w:val="000000"/>
                <w:kern w:val="0"/>
                <w:sz w:val="22"/>
                <w:szCs w:val="22"/>
                <w:lang w:val="en-US" w:eastAsia="zh-CN"/>
              </w:rPr>
              <w:t>598</w:t>
            </w:r>
          </w:p>
        </w:tc>
      </w:tr>
      <w:tr>
        <w:tblPrEx>
          <w:tblLayout w:type="fixed"/>
          <w:tblCellMar>
            <w:top w:w="15" w:type="dxa"/>
            <w:left w:w="15" w:type="dxa"/>
            <w:bottom w:w="15" w:type="dxa"/>
            <w:right w:w="15" w:type="dxa"/>
          </w:tblCellMar>
        </w:tblPrEx>
        <w:trPr>
          <w:trHeight w:val="283" w:hRule="exact"/>
        </w:trPr>
        <w:tc>
          <w:tcPr>
            <w:tcW w:w="193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16级</w:t>
            </w:r>
          </w:p>
        </w:tc>
        <w:tc>
          <w:tcPr>
            <w:tcW w:w="2693"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652</w:t>
            </w:r>
          </w:p>
        </w:tc>
        <w:tc>
          <w:tcPr>
            <w:tcW w:w="193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17级</w:t>
            </w:r>
          </w:p>
        </w:tc>
        <w:tc>
          <w:tcPr>
            <w:tcW w:w="228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697</w:t>
            </w:r>
          </w:p>
        </w:tc>
      </w:tr>
      <w:tr>
        <w:tblPrEx>
          <w:tblLayout w:type="fixed"/>
          <w:tblCellMar>
            <w:top w:w="15" w:type="dxa"/>
            <w:left w:w="15" w:type="dxa"/>
            <w:bottom w:w="15" w:type="dxa"/>
            <w:right w:w="15" w:type="dxa"/>
          </w:tblCellMar>
        </w:tblPrEx>
        <w:trPr>
          <w:trHeight w:val="283" w:hRule="exact"/>
        </w:trPr>
        <w:tc>
          <w:tcPr>
            <w:tcW w:w="193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17级</w:t>
            </w:r>
          </w:p>
        </w:tc>
        <w:tc>
          <w:tcPr>
            <w:tcW w:w="2693"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756</w:t>
            </w:r>
          </w:p>
        </w:tc>
        <w:tc>
          <w:tcPr>
            <w:tcW w:w="193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sz w:val="22"/>
                <w:szCs w:val="22"/>
              </w:rPr>
              <w:t>18级</w:t>
            </w:r>
          </w:p>
        </w:tc>
        <w:tc>
          <w:tcPr>
            <w:tcW w:w="228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824</w:t>
            </w:r>
          </w:p>
        </w:tc>
      </w:tr>
      <w:tr>
        <w:tblPrEx>
          <w:tblLayout w:type="fixed"/>
          <w:tblCellMar>
            <w:top w:w="15" w:type="dxa"/>
            <w:left w:w="15" w:type="dxa"/>
            <w:bottom w:w="15" w:type="dxa"/>
            <w:right w:w="15" w:type="dxa"/>
          </w:tblCellMar>
        </w:tblPrEx>
        <w:trPr>
          <w:trHeight w:val="283" w:hRule="exact"/>
        </w:trPr>
        <w:tc>
          <w:tcPr>
            <w:tcW w:w="193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合计</w:t>
            </w:r>
          </w:p>
        </w:tc>
        <w:tc>
          <w:tcPr>
            <w:tcW w:w="2693"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2264</w:t>
            </w:r>
          </w:p>
        </w:tc>
        <w:tc>
          <w:tcPr>
            <w:tcW w:w="193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sz w:val="22"/>
                <w:szCs w:val="22"/>
              </w:rPr>
              <w:t>合计</w:t>
            </w:r>
          </w:p>
        </w:tc>
        <w:tc>
          <w:tcPr>
            <w:tcW w:w="228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hint="eastAsia" w:ascii="仿宋" w:hAnsi="仿宋" w:eastAsia="仿宋" w:cs="仿宋_GB2312"/>
                <w:color w:val="000000"/>
                <w:sz w:val="22"/>
                <w:szCs w:val="22"/>
                <w:lang w:val="en-US" w:eastAsia="zh-CN"/>
              </w:rPr>
            </w:pPr>
            <w:r>
              <w:rPr>
                <w:rFonts w:hint="eastAsia" w:ascii="仿宋" w:hAnsi="仿宋" w:eastAsia="仿宋" w:cs="仿宋_GB2312"/>
                <w:color w:val="000000"/>
                <w:kern w:val="0"/>
                <w:sz w:val="22"/>
                <w:szCs w:val="22"/>
              </w:rPr>
              <w:t>21</w:t>
            </w:r>
            <w:r>
              <w:rPr>
                <w:rFonts w:hint="eastAsia" w:ascii="仿宋" w:hAnsi="仿宋" w:eastAsia="仿宋" w:cs="仿宋_GB2312"/>
                <w:color w:val="000000"/>
                <w:kern w:val="0"/>
                <w:sz w:val="22"/>
                <w:szCs w:val="22"/>
                <w:lang w:val="en-US" w:eastAsia="zh-CN"/>
              </w:rPr>
              <w:t>19</w:t>
            </w:r>
          </w:p>
        </w:tc>
      </w:tr>
    </w:tbl>
    <w:p>
      <w:pPr>
        <w:jc w:val="left"/>
        <w:rPr>
          <w:rFonts w:ascii="仿宋_GB2312" w:hAnsi="仿宋_GB2312" w:eastAsia="仿宋_GB2312" w:cs="仿宋_GB2312"/>
          <w:color w:val="333333"/>
          <w:szCs w:val="21"/>
          <w:shd w:val="clear" w:color="auto" w:fill="FFFFFF"/>
        </w:rPr>
      </w:pPr>
    </w:p>
    <w:p>
      <w:pPr>
        <w:jc w:val="left"/>
      </w:pPr>
      <w:r>
        <w:drawing>
          <wp:inline distT="0" distB="0" distL="114300" distR="114300">
            <wp:extent cx="5555615" cy="2680335"/>
            <wp:effectExtent l="4445" t="4445" r="21590" b="20320"/>
            <wp:docPr id="1467"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1.2.4毕业生规模</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毕业生人数不断增加，以对口升学为主要方向，就业率较高。</w:t>
      </w:r>
    </w:p>
    <w:p>
      <w:pPr>
        <w:rPr>
          <w:rFonts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表3</w:t>
      </w:r>
    </w:p>
    <w:tbl>
      <w:tblPr>
        <w:tblStyle w:val="10"/>
        <w:tblW w:w="8880" w:type="dxa"/>
        <w:tblInd w:w="0" w:type="dxa"/>
        <w:tblLayout w:type="fixed"/>
        <w:tblCellMar>
          <w:top w:w="15" w:type="dxa"/>
          <w:left w:w="15" w:type="dxa"/>
          <w:bottom w:w="15" w:type="dxa"/>
          <w:right w:w="15" w:type="dxa"/>
        </w:tblCellMar>
      </w:tblPr>
      <w:tblGrid>
        <w:gridCol w:w="2568"/>
        <w:gridCol w:w="2567"/>
        <w:gridCol w:w="3745"/>
      </w:tblGrid>
      <w:tr>
        <w:tblPrEx>
          <w:tblLayout w:type="fixed"/>
          <w:tblCellMar>
            <w:top w:w="15" w:type="dxa"/>
            <w:left w:w="15" w:type="dxa"/>
            <w:bottom w:w="15" w:type="dxa"/>
            <w:right w:w="15" w:type="dxa"/>
          </w:tblCellMar>
        </w:tblPrEx>
        <w:trPr>
          <w:trHeight w:val="283" w:hRule="exact"/>
        </w:trPr>
        <w:tc>
          <w:tcPr>
            <w:tcW w:w="8880" w:type="dxa"/>
            <w:gridSpan w:val="3"/>
            <w:tcBorders>
              <w:top w:val="nil"/>
              <w:left w:val="nil"/>
              <w:bottom w:val="single" w:color="000000" w:sz="4" w:space="0"/>
              <w:right w:val="nil"/>
            </w:tcBorders>
            <w:shd w:val="clear" w:color="auto" w:fill="auto"/>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近三年毕业生人数</w:t>
            </w:r>
          </w:p>
        </w:tc>
      </w:tr>
      <w:tr>
        <w:tblPrEx>
          <w:tblLayout w:type="fixed"/>
          <w:tblCellMar>
            <w:top w:w="15" w:type="dxa"/>
            <w:left w:w="15" w:type="dxa"/>
            <w:bottom w:w="15" w:type="dxa"/>
            <w:right w:w="15" w:type="dxa"/>
          </w:tblCellMar>
        </w:tblPrEx>
        <w:trPr>
          <w:trHeight w:val="283" w:hRule="exact"/>
        </w:trPr>
        <w:tc>
          <w:tcPr>
            <w:tcW w:w="2568"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年度</w:t>
            </w:r>
          </w:p>
        </w:tc>
        <w:tc>
          <w:tcPr>
            <w:tcW w:w="2567"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毕业人数</w:t>
            </w:r>
          </w:p>
        </w:tc>
        <w:tc>
          <w:tcPr>
            <w:tcW w:w="3745"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同比上年增长率</w:t>
            </w:r>
          </w:p>
        </w:tc>
      </w:tr>
      <w:tr>
        <w:tblPrEx>
          <w:tblLayout w:type="fixed"/>
          <w:tblCellMar>
            <w:top w:w="15" w:type="dxa"/>
            <w:left w:w="15" w:type="dxa"/>
            <w:bottom w:w="15" w:type="dxa"/>
            <w:right w:w="15" w:type="dxa"/>
          </w:tblCellMar>
        </w:tblPrEx>
        <w:trPr>
          <w:trHeight w:val="283" w:hRule="exact"/>
        </w:trPr>
        <w:tc>
          <w:tcPr>
            <w:tcW w:w="256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2016级</w:t>
            </w:r>
          </w:p>
        </w:tc>
        <w:tc>
          <w:tcPr>
            <w:tcW w:w="2567"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341</w:t>
            </w:r>
          </w:p>
        </w:tc>
        <w:tc>
          <w:tcPr>
            <w:tcW w:w="3745"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38%</w:t>
            </w:r>
          </w:p>
        </w:tc>
      </w:tr>
      <w:tr>
        <w:tblPrEx>
          <w:tblLayout w:type="fixed"/>
          <w:tblCellMar>
            <w:top w:w="15" w:type="dxa"/>
            <w:left w:w="15" w:type="dxa"/>
            <w:bottom w:w="15" w:type="dxa"/>
            <w:right w:w="15" w:type="dxa"/>
          </w:tblCellMar>
        </w:tblPrEx>
        <w:trPr>
          <w:trHeight w:val="283" w:hRule="exact"/>
        </w:trPr>
        <w:tc>
          <w:tcPr>
            <w:tcW w:w="256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2017级</w:t>
            </w:r>
          </w:p>
        </w:tc>
        <w:tc>
          <w:tcPr>
            <w:tcW w:w="2567"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433</w:t>
            </w:r>
          </w:p>
        </w:tc>
        <w:tc>
          <w:tcPr>
            <w:tcW w:w="3745"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27%</w:t>
            </w:r>
          </w:p>
        </w:tc>
      </w:tr>
      <w:tr>
        <w:tblPrEx>
          <w:tblLayout w:type="fixed"/>
          <w:tblCellMar>
            <w:top w:w="15" w:type="dxa"/>
            <w:left w:w="15" w:type="dxa"/>
            <w:bottom w:w="15" w:type="dxa"/>
            <w:right w:w="15" w:type="dxa"/>
          </w:tblCellMar>
        </w:tblPrEx>
        <w:trPr>
          <w:trHeight w:val="283" w:hRule="exact"/>
        </w:trPr>
        <w:tc>
          <w:tcPr>
            <w:tcW w:w="256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sz w:val="22"/>
                <w:szCs w:val="22"/>
              </w:rPr>
              <w:t>2018级</w:t>
            </w:r>
          </w:p>
        </w:tc>
        <w:tc>
          <w:tcPr>
            <w:tcW w:w="2567"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sz w:val="22"/>
                <w:szCs w:val="22"/>
              </w:rPr>
              <w:t>586</w:t>
            </w:r>
          </w:p>
        </w:tc>
        <w:tc>
          <w:tcPr>
            <w:tcW w:w="3745"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sz w:val="22"/>
                <w:szCs w:val="22"/>
              </w:rPr>
              <w:t>26%</w:t>
            </w:r>
          </w:p>
        </w:tc>
      </w:tr>
    </w:tbl>
    <w:p/>
    <w:p>
      <w:r>
        <w:drawing>
          <wp:inline distT="0" distB="0" distL="114300" distR="114300">
            <wp:extent cx="5690235" cy="2194560"/>
            <wp:effectExtent l="13970" t="0" r="29845" b="19685"/>
            <wp:docPr id="33"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
        <w:drawing>
          <wp:inline distT="0" distB="0" distL="114300" distR="114300">
            <wp:extent cx="5659120" cy="2258695"/>
            <wp:effectExtent l="4445" t="4445" r="13335" b="22860"/>
            <wp:docPr id="34"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1.2.5学生结构</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学生来源为本县二、三、四、五中毕业学生，男生多于女生，农村学生占招生人数的70%以上。</w:t>
      </w:r>
    </w:p>
    <w:p>
      <w:pPr>
        <w:jc w:val="left"/>
        <w:rPr>
          <w:rFonts w:hint="eastAsia"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表4</w:t>
      </w:r>
    </w:p>
    <w:tbl>
      <w:tblPr>
        <w:tblStyle w:val="10"/>
        <w:tblW w:w="8875" w:type="dxa"/>
        <w:tblInd w:w="0" w:type="dxa"/>
        <w:tblLayout w:type="fixed"/>
        <w:tblCellMar>
          <w:top w:w="15" w:type="dxa"/>
          <w:left w:w="15" w:type="dxa"/>
          <w:bottom w:w="15" w:type="dxa"/>
          <w:right w:w="15" w:type="dxa"/>
        </w:tblCellMar>
      </w:tblPr>
      <w:tblGrid>
        <w:gridCol w:w="2719"/>
        <w:gridCol w:w="3078"/>
        <w:gridCol w:w="3078"/>
      </w:tblGrid>
      <w:tr>
        <w:tblPrEx>
          <w:tblLayout w:type="fixed"/>
        </w:tblPrEx>
        <w:trPr>
          <w:trHeight w:val="322" w:hRule="exact"/>
        </w:trPr>
        <w:tc>
          <w:tcPr>
            <w:tcW w:w="2719"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kern w:val="0"/>
                <w:sz w:val="22"/>
                <w:szCs w:val="22"/>
              </w:rPr>
            </w:pPr>
            <w:r>
              <w:rPr>
                <w:rFonts w:hint="eastAsia" w:ascii="仿宋" w:hAnsi="仿宋" w:eastAsia="仿宋" w:cs="仿宋_GB2312"/>
                <w:color w:val="000000"/>
                <w:kern w:val="0"/>
                <w:sz w:val="22"/>
                <w:szCs w:val="22"/>
              </w:rPr>
              <w:t>年度</w:t>
            </w:r>
          </w:p>
        </w:tc>
        <w:tc>
          <w:tcPr>
            <w:tcW w:w="3078"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kern w:val="0"/>
                <w:sz w:val="22"/>
                <w:szCs w:val="22"/>
              </w:rPr>
            </w:pPr>
            <w:r>
              <w:rPr>
                <w:rFonts w:hint="eastAsia" w:ascii="仿宋" w:hAnsi="仿宋" w:eastAsia="仿宋" w:cs="仿宋_GB2312"/>
                <w:color w:val="000000"/>
                <w:kern w:val="0"/>
                <w:sz w:val="22"/>
                <w:szCs w:val="22"/>
              </w:rPr>
              <w:t>2017年度</w:t>
            </w:r>
          </w:p>
        </w:tc>
        <w:tc>
          <w:tcPr>
            <w:tcW w:w="3078"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kern w:val="0"/>
                <w:sz w:val="22"/>
                <w:szCs w:val="22"/>
              </w:rPr>
            </w:pPr>
            <w:r>
              <w:rPr>
                <w:rFonts w:hint="eastAsia" w:ascii="仿宋" w:hAnsi="仿宋" w:eastAsia="仿宋" w:cs="仿宋_GB2312"/>
                <w:color w:val="000000"/>
                <w:kern w:val="0"/>
                <w:sz w:val="22"/>
                <w:szCs w:val="22"/>
              </w:rPr>
              <w:t>2018年度</w:t>
            </w:r>
          </w:p>
        </w:tc>
      </w:tr>
      <w:tr>
        <w:tblPrEx>
          <w:tblLayout w:type="fixed"/>
          <w:tblCellMar>
            <w:top w:w="15" w:type="dxa"/>
            <w:left w:w="15" w:type="dxa"/>
            <w:bottom w:w="15" w:type="dxa"/>
            <w:right w:w="15" w:type="dxa"/>
          </w:tblCellMar>
        </w:tblPrEx>
        <w:trPr>
          <w:trHeight w:val="322" w:hRule="exact"/>
        </w:trPr>
        <w:tc>
          <w:tcPr>
            <w:tcW w:w="271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kern w:val="0"/>
                <w:sz w:val="22"/>
                <w:szCs w:val="22"/>
              </w:rPr>
            </w:pPr>
            <w:r>
              <w:rPr>
                <w:rFonts w:hint="eastAsia" w:ascii="仿宋" w:hAnsi="仿宋" w:eastAsia="仿宋" w:cs="仿宋_GB2312"/>
                <w:color w:val="000000"/>
                <w:kern w:val="0"/>
                <w:sz w:val="22"/>
                <w:szCs w:val="22"/>
              </w:rPr>
              <w:t>男生</w:t>
            </w:r>
          </w:p>
        </w:tc>
        <w:tc>
          <w:tcPr>
            <w:tcW w:w="307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kern w:val="0"/>
                <w:sz w:val="22"/>
                <w:szCs w:val="22"/>
              </w:rPr>
            </w:pPr>
            <w:r>
              <w:rPr>
                <w:rFonts w:hint="eastAsia" w:ascii="仿宋" w:hAnsi="仿宋" w:eastAsia="仿宋" w:cs="仿宋_GB2312"/>
                <w:color w:val="000000"/>
                <w:kern w:val="0"/>
                <w:sz w:val="22"/>
                <w:szCs w:val="22"/>
              </w:rPr>
              <w:t>60.80%</w:t>
            </w:r>
          </w:p>
        </w:tc>
        <w:tc>
          <w:tcPr>
            <w:tcW w:w="307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kern w:val="0"/>
                <w:sz w:val="22"/>
                <w:szCs w:val="22"/>
              </w:rPr>
            </w:pPr>
            <w:r>
              <w:rPr>
                <w:rFonts w:hint="eastAsia" w:ascii="仿宋" w:hAnsi="仿宋" w:eastAsia="仿宋" w:cs="仿宋_GB2312"/>
                <w:color w:val="000000"/>
                <w:kern w:val="0"/>
                <w:sz w:val="22"/>
                <w:szCs w:val="22"/>
              </w:rPr>
              <w:t>58.76%</w:t>
            </w:r>
          </w:p>
        </w:tc>
      </w:tr>
      <w:tr>
        <w:tblPrEx>
          <w:tblLayout w:type="fixed"/>
          <w:tblCellMar>
            <w:top w:w="15" w:type="dxa"/>
            <w:left w:w="15" w:type="dxa"/>
            <w:bottom w:w="15" w:type="dxa"/>
            <w:right w:w="15" w:type="dxa"/>
          </w:tblCellMar>
        </w:tblPrEx>
        <w:trPr>
          <w:trHeight w:val="322" w:hRule="exact"/>
        </w:trPr>
        <w:tc>
          <w:tcPr>
            <w:tcW w:w="271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kern w:val="0"/>
                <w:sz w:val="22"/>
                <w:szCs w:val="22"/>
              </w:rPr>
            </w:pPr>
            <w:r>
              <w:rPr>
                <w:rFonts w:hint="eastAsia" w:ascii="仿宋" w:hAnsi="仿宋" w:eastAsia="仿宋" w:cs="仿宋_GB2312"/>
                <w:color w:val="000000"/>
                <w:kern w:val="0"/>
                <w:sz w:val="22"/>
                <w:szCs w:val="22"/>
              </w:rPr>
              <w:t>女生</w:t>
            </w:r>
          </w:p>
        </w:tc>
        <w:tc>
          <w:tcPr>
            <w:tcW w:w="307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kern w:val="0"/>
                <w:sz w:val="22"/>
                <w:szCs w:val="22"/>
              </w:rPr>
            </w:pPr>
            <w:r>
              <w:rPr>
                <w:rFonts w:hint="eastAsia" w:ascii="仿宋" w:hAnsi="仿宋" w:eastAsia="仿宋" w:cs="仿宋_GB2312"/>
                <w:color w:val="000000"/>
                <w:kern w:val="0"/>
                <w:sz w:val="22"/>
                <w:szCs w:val="22"/>
              </w:rPr>
              <w:t>39.20%</w:t>
            </w:r>
          </w:p>
        </w:tc>
        <w:tc>
          <w:tcPr>
            <w:tcW w:w="307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kern w:val="0"/>
                <w:sz w:val="22"/>
                <w:szCs w:val="22"/>
              </w:rPr>
            </w:pPr>
            <w:r>
              <w:rPr>
                <w:rFonts w:hint="eastAsia" w:ascii="仿宋" w:hAnsi="仿宋" w:eastAsia="仿宋" w:cs="仿宋_GB2312"/>
                <w:color w:val="000000"/>
                <w:kern w:val="0"/>
                <w:sz w:val="22"/>
                <w:szCs w:val="22"/>
                <w:lang w:val="en-US" w:eastAsia="zh-CN"/>
              </w:rPr>
              <w:t>4</w:t>
            </w:r>
            <w:r>
              <w:rPr>
                <w:rFonts w:hint="eastAsia" w:ascii="仿宋" w:hAnsi="仿宋" w:eastAsia="仿宋" w:cs="仿宋_GB2312"/>
                <w:color w:val="000000"/>
                <w:kern w:val="0"/>
                <w:sz w:val="22"/>
                <w:szCs w:val="22"/>
              </w:rPr>
              <w:t>1.24%</w:t>
            </w:r>
          </w:p>
        </w:tc>
      </w:tr>
    </w:tbl>
    <w:p>
      <w:pPr>
        <w:jc w:val="left"/>
        <w:rPr>
          <w:rFonts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 xml:space="preserve">                                   </w:t>
      </w:r>
      <w:r>
        <w:rPr>
          <w:rFonts w:hint="eastAsia" w:asciiTheme="minorEastAsia" w:hAnsiTheme="minorEastAsia" w:cstheme="minorEastAsia"/>
          <w:color w:val="333333"/>
          <w:sz w:val="22"/>
          <w:szCs w:val="22"/>
          <w:shd w:val="clear" w:color="auto" w:fill="FFFFFF"/>
        </w:rPr>
        <w:t xml:space="preserve">  学生结构</w:t>
      </w:r>
    </w:p>
    <w:p>
      <w:pPr>
        <w:rPr>
          <w:rFonts w:ascii="仿宋_GB2312" w:hAnsi="仿宋_GB2312" w:eastAsia="仿宋_GB2312" w:cs="仿宋_GB2312"/>
          <w:color w:val="333333"/>
          <w:sz w:val="32"/>
          <w:szCs w:val="32"/>
          <w:shd w:val="clear" w:color="auto" w:fill="FFFFFF"/>
        </w:rPr>
      </w:pPr>
      <w:r>
        <w:drawing>
          <wp:inline distT="0" distB="0" distL="114300" distR="114300">
            <wp:extent cx="5643245" cy="2517775"/>
            <wp:effectExtent l="4445" t="4445" r="10160" b="11430"/>
            <wp:docPr id="1470"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1.2.6巩固率</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学校十分重视控辍保学工作，建立了一系列的控辍保学措施，如：定期家访制，家长委员会，家长微信平台等。形成了家校结合的管理模式。近三年来，学校学生巩固率在95%以上。</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1.2.7培训规模</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高度重视学生培训工作，专门筹措资金，根据学生实际和专业特点，请企业技术人员和专家到校培训。培训种类有书法培训、摄影培训、电商专业的广告设计和制作培训、机电专业的车工焊工培训、财会专业的财会软件培训、服务专业的刺绣培训、林果专业的果树管理和修剪培训等。培训活动受到了的广泛欢迎，同学们积极参与，201</w:t>
      </w:r>
      <w:r>
        <w:rPr>
          <w:rFonts w:hint="eastAsia" w:ascii="仿宋_GB2312" w:hAnsi="仿宋_GB2312" w:eastAsia="仿宋_GB2312" w:cs="仿宋_GB2312"/>
          <w:color w:val="333333"/>
          <w:sz w:val="32"/>
          <w:szCs w:val="32"/>
          <w:shd w:val="clear" w:color="auto" w:fill="FFFFFF"/>
          <w:lang w:val="en-US" w:eastAsia="zh-CN"/>
        </w:rPr>
        <w:t>7</w:t>
      </w:r>
      <w:r>
        <w:rPr>
          <w:rFonts w:hint="eastAsia" w:ascii="仿宋_GB2312" w:hAnsi="仿宋_GB2312" w:eastAsia="仿宋_GB2312" w:cs="仿宋_GB2312"/>
          <w:color w:val="333333"/>
          <w:sz w:val="32"/>
          <w:szCs w:val="32"/>
          <w:shd w:val="clear" w:color="auto" w:fill="FFFFFF"/>
        </w:rPr>
        <w:t>年培训</w:t>
      </w:r>
      <w:r>
        <w:rPr>
          <w:rFonts w:hint="eastAsia" w:ascii="仿宋_GB2312" w:hAnsi="仿宋_GB2312" w:eastAsia="仿宋_GB2312" w:cs="仿宋_GB2312"/>
          <w:color w:val="333333"/>
          <w:sz w:val="32"/>
          <w:szCs w:val="32"/>
          <w:shd w:val="clear" w:color="auto" w:fill="FFFFFF"/>
          <w:lang w:val="en-US" w:eastAsia="zh-CN"/>
        </w:rPr>
        <w:t>3795</w:t>
      </w:r>
      <w:r>
        <w:rPr>
          <w:rFonts w:hint="eastAsia" w:ascii="仿宋_GB2312" w:hAnsi="仿宋_GB2312" w:eastAsia="仿宋_GB2312" w:cs="仿宋_GB2312"/>
          <w:color w:val="333333"/>
          <w:sz w:val="32"/>
          <w:szCs w:val="32"/>
          <w:shd w:val="clear" w:color="auto" w:fill="FFFFFF"/>
        </w:rPr>
        <w:t>人次，201</w:t>
      </w:r>
      <w:r>
        <w:rPr>
          <w:rFonts w:hint="eastAsia" w:ascii="仿宋_GB2312" w:hAnsi="仿宋_GB2312" w:eastAsia="仿宋_GB2312" w:cs="仿宋_GB2312"/>
          <w:color w:val="333333"/>
          <w:sz w:val="32"/>
          <w:szCs w:val="32"/>
          <w:shd w:val="clear" w:color="auto" w:fill="FFFFFF"/>
          <w:lang w:val="en-US" w:eastAsia="zh-CN"/>
        </w:rPr>
        <w:t>8</w:t>
      </w:r>
      <w:r>
        <w:rPr>
          <w:rFonts w:hint="eastAsia" w:ascii="仿宋_GB2312" w:hAnsi="仿宋_GB2312" w:eastAsia="仿宋_GB2312" w:cs="仿宋_GB2312"/>
          <w:color w:val="333333"/>
          <w:sz w:val="32"/>
          <w:szCs w:val="32"/>
          <w:shd w:val="clear" w:color="auto" w:fill="FFFFFF"/>
        </w:rPr>
        <w:t>全年达到</w:t>
      </w:r>
      <w:r>
        <w:rPr>
          <w:rFonts w:hint="eastAsia" w:ascii="仿宋_GB2312" w:hAnsi="仿宋_GB2312" w:eastAsia="仿宋_GB2312" w:cs="仿宋_GB2312"/>
          <w:color w:val="333333"/>
          <w:sz w:val="32"/>
          <w:szCs w:val="32"/>
          <w:shd w:val="clear" w:color="auto" w:fill="FFFFFF"/>
          <w:lang w:val="en-US" w:eastAsia="zh-CN"/>
        </w:rPr>
        <w:t>3840</w:t>
      </w:r>
      <w:r>
        <w:rPr>
          <w:rFonts w:hint="eastAsia" w:ascii="仿宋_GB2312" w:hAnsi="仿宋_GB2312" w:eastAsia="仿宋_GB2312" w:cs="仿宋_GB2312"/>
          <w:color w:val="333333"/>
          <w:sz w:val="32"/>
          <w:szCs w:val="32"/>
          <w:shd w:val="clear" w:color="auto" w:fill="FFFFFF"/>
        </w:rPr>
        <w:t>多人次，通过培训，学生开阔了眼界，提高了技能水平，为将来专业发展奠定了坚实基础。</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1.3教师队伍</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宽城职教中心拥有一支结构合理、力量雄厚、高素质的教师队伍。在编教职工195人，其中专任教师166人（专业课教师97人），专业教师占专任教师比例58.4%，学历全部达标，师生比为1：9.04。研究生学历教师13名，比例为7.8%；高级职称教师73名，占比43.9%；中级职称教师86名，占比51.8%；专业教师中“双师型”教师112人，比例达到</w:t>
      </w:r>
      <w:r>
        <w:rPr>
          <w:rFonts w:hint="eastAsia" w:ascii="仿宋_GB2312" w:hAnsi="仿宋_GB2312" w:eastAsia="仿宋_GB2312" w:cs="仿宋_GB2312"/>
          <w:color w:val="333333"/>
          <w:sz w:val="32"/>
          <w:szCs w:val="32"/>
          <w:shd w:val="clear" w:color="auto" w:fill="FFFFFF"/>
          <w:lang w:val="en-US" w:eastAsia="zh-CN"/>
        </w:rPr>
        <w:t>72</w:t>
      </w:r>
      <w:r>
        <w:rPr>
          <w:rFonts w:hint="eastAsia" w:ascii="仿宋_GB2312" w:hAnsi="仿宋_GB2312" w:eastAsia="仿宋_GB2312" w:cs="仿宋_GB2312"/>
          <w:color w:val="333333"/>
          <w:sz w:val="32"/>
          <w:szCs w:val="32"/>
          <w:shd w:val="clear" w:color="auto" w:fill="FFFFFF"/>
        </w:rPr>
        <w:t>%；县级以上骨干教师及学科带头人30名。兼职教师6人，占专任专业教师比例3.6%。</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1.3.1生师比</w:t>
      </w:r>
    </w:p>
    <w:p>
      <w:pPr>
        <w:rPr>
          <w:rFonts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表5</w:t>
      </w:r>
    </w:p>
    <w:tbl>
      <w:tblPr>
        <w:tblStyle w:val="10"/>
        <w:tblW w:w="8843" w:type="dxa"/>
        <w:tblInd w:w="0" w:type="dxa"/>
        <w:tblLayout w:type="fixed"/>
        <w:tblCellMar>
          <w:top w:w="15" w:type="dxa"/>
          <w:left w:w="15" w:type="dxa"/>
          <w:bottom w:w="15" w:type="dxa"/>
          <w:right w:w="15" w:type="dxa"/>
        </w:tblCellMar>
      </w:tblPr>
      <w:tblGrid>
        <w:gridCol w:w="2670"/>
        <w:gridCol w:w="2780"/>
        <w:gridCol w:w="3393"/>
      </w:tblGrid>
      <w:tr>
        <w:tblPrEx>
          <w:tblLayout w:type="fixed"/>
          <w:tblCellMar>
            <w:top w:w="15" w:type="dxa"/>
            <w:left w:w="15" w:type="dxa"/>
            <w:bottom w:w="15" w:type="dxa"/>
            <w:right w:w="15" w:type="dxa"/>
          </w:tblCellMar>
        </w:tblPrEx>
        <w:trPr>
          <w:trHeight w:val="298" w:hRule="exact"/>
        </w:trPr>
        <w:tc>
          <w:tcPr>
            <w:tcW w:w="2670"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FF0000"/>
                <w:szCs w:val="21"/>
              </w:rPr>
            </w:pPr>
            <w:r>
              <w:rPr>
                <w:rFonts w:hint="eastAsia" w:ascii="仿宋" w:hAnsi="仿宋" w:eastAsia="仿宋" w:cs="仿宋_GB2312"/>
                <w:color w:val="000000"/>
                <w:kern w:val="0"/>
                <w:szCs w:val="21"/>
              </w:rPr>
              <w:t>年度</w:t>
            </w:r>
          </w:p>
        </w:tc>
        <w:tc>
          <w:tcPr>
            <w:tcW w:w="2780"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2017年度</w:t>
            </w:r>
          </w:p>
        </w:tc>
        <w:tc>
          <w:tcPr>
            <w:tcW w:w="3393"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2018年度</w:t>
            </w:r>
          </w:p>
        </w:tc>
      </w:tr>
      <w:tr>
        <w:tblPrEx>
          <w:tblLayout w:type="fixed"/>
          <w:tblCellMar>
            <w:top w:w="15" w:type="dxa"/>
            <w:left w:w="15" w:type="dxa"/>
            <w:bottom w:w="15" w:type="dxa"/>
            <w:right w:w="15" w:type="dxa"/>
          </w:tblCellMar>
        </w:tblPrEx>
        <w:trPr>
          <w:trHeight w:val="298" w:hRule="exact"/>
        </w:trPr>
        <w:tc>
          <w:tcPr>
            <w:tcW w:w="267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学生</w:t>
            </w:r>
          </w:p>
        </w:tc>
        <w:tc>
          <w:tcPr>
            <w:tcW w:w="278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11.6</w:t>
            </w:r>
          </w:p>
        </w:tc>
        <w:tc>
          <w:tcPr>
            <w:tcW w:w="3393"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9.04</w:t>
            </w:r>
          </w:p>
        </w:tc>
      </w:tr>
      <w:tr>
        <w:tblPrEx>
          <w:tblLayout w:type="fixed"/>
          <w:tblCellMar>
            <w:top w:w="15" w:type="dxa"/>
            <w:left w:w="15" w:type="dxa"/>
            <w:bottom w:w="15" w:type="dxa"/>
            <w:right w:w="15" w:type="dxa"/>
          </w:tblCellMar>
        </w:tblPrEx>
        <w:trPr>
          <w:trHeight w:val="298" w:hRule="exact"/>
        </w:trPr>
        <w:tc>
          <w:tcPr>
            <w:tcW w:w="267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教师</w:t>
            </w:r>
          </w:p>
        </w:tc>
        <w:tc>
          <w:tcPr>
            <w:tcW w:w="278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1</w:t>
            </w:r>
          </w:p>
        </w:tc>
        <w:tc>
          <w:tcPr>
            <w:tcW w:w="3393"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1</w:t>
            </w:r>
          </w:p>
        </w:tc>
      </w:tr>
    </w:tbl>
    <w:p>
      <w:pPr>
        <w:rPr>
          <w:rFonts w:ascii="仿宋_GB2312" w:hAnsi="仿宋_GB2312" w:eastAsia="仿宋_GB2312" w:cs="仿宋_GB2312"/>
          <w:color w:val="333333"/>
          <w:szCs w:val="21"/>
          <w:shd w:val="clear" w:color="auto" w:fill="FFFFFF"/>
        </w:rPr>
      </w:pPr>
    </w:p>
    <w:p>
      <w:pPr>
        <w:rPr>
          <w:rFonts w:ascii="仿宋_GB2312" w:hAnsi="仿宋_GB2312" w:eastAsia="仿宋_GB2312" w:cs="仿宋_GB2312"/>
          <w:color w:val="333333"/>
          <w:sz w:val="32"/>
          <w:szCs w:val="32"/>
          <w:shd w:val="clear" w:color="auto" w:fill="FFFFFF"/>
        </w:rPr>
      </w:pPr>
      <w:r>
        <w:drawing>
          <wp:inline distT="0" distB="0" distL="114300" distR="114300">
            <wp:extent cx="5659120" cy="1927225"/>
            <wp:effectExtent l="13970" t="13970" r="22860" b="20955"/>
            <wp:docPr id="36"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1.3.2教师结构比例</w:t>
      </w:r>
    </w:p>
    <w:p>
      <w:pPr>
        <w:rPr>
          <w:rFonts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表6</w:t>
      </w:r>
    </w:p>
    <w:tbl>
      <w:tblPr>
        <w:tblStyle w:val="10"/>
        <w:tblW w:w="8893" w:type="dxa"/>
        <w:tblInd w:w="0" w:type="dxa"/>
        <w:tblLayout w:type="fixed"/>
        <w:tblCellMar>
          <w:top w:w="15" w:type="dxa"/>
          <w:left w:w="15" w:type="dxa"/>
          <w:bottom w:w="15" w:type="dxa"/>
          <w:right w:w="15" w:type="dxa"/>
        </w:tblCellMar>
      </w:tblPr>
      <w:tblGrid>
        <w:gridCol w:w="2806"/>
        <w:gridCol w:w="2808"/>
        <w:gridCol w:w="3279"/>
      </w:tblGrid>
      <w:tr>
        <w:tblPrEx>
          <w:tblLayout w:type="fixed"/>
          <w:tblCellMar>
            <w:top w:w="15" w:type="dxa"/>
            <w:left w:w="15" w:type="dxa"/>
            <w:bottom w:w="15" w:type="dxa"/>
            <w:right w:w="15" w:type="dxa"/>
          </w:tblCellMar>
        </w:tblPrEx>
        <w:trPr>
          <w:trHeight w:val="283" w:hRule="exact"/>
        </w:trPr>
        <w:tc>
          <w:tcPr>
            <w:tcW w:w="2806" w:type="dxa"/>
            <w:tcBorders>
              <w:top w:val="single" w:color="000000" w:sz="12" w:space="0"/>
              <w:left w:val="single" w:color="000000" w:sz="12" w:space="0"/>
              <w:bottom w:val="single" w:color="000000" w:sz="12" w:space="0"/>
              <w:right w:val="single" w:color="000000" w:sz="12" w:space="0"/>
            </w:tcBorders>
            <w:shd w:val="clear" w:color="auto" w:fill="00B0F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年度</w:t>
            </w:r>
          </w:p>
        </w:tc>
        <w:tc>
          <w:tcPr>
            <w:tcW w:w="2808" w:type="dxa"/>
            <w:tcBorders>
              <w:top w:val="single" w:color="000000" w:sz="12" w:space="0"/>
              <w:bottom w:val="single" w:color="000000" w:sz="12" w:space="0"/>
              <w:right w:val="single" w:color="000000" w:sz="12" w:space="0"/>
            </w:tcBorders>
            <w:shd w:val="clear" w:color="auto" w:fill="00B0F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2017年度</w:t>
            </w:r>
          </w:p>
        </w:tc>
        <w:tc>
          <w:tcPr>
            <w:tcW w:w="3279" w:type="dxa"/>
            <w:tcBorders>
              <w:top w:val="single" w:color="000000" w:sz="12" w:space="0"/>
              <w:bottom w:val="single" w:color="000000" w:sz="12" w:space="0"/>
              <w:right w:val="single" w:color="000000" w:sz="12" w:space="0"/>
            </w:tcBorders>
            <w:shd w:val="clear" w:color="auto" w:fill="00B0F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2018年度</w:t>
            </w:r>
          </w:p>
        </w:tc>
      </w:tr>
      <w:tr>
        <w:tblPrEx>
          <w:tblLayout w:type="fixed"/>
          <w:tblCellMar>
            <w:top w:w="15" w:type="dxa"/>
            <w:left w:w="15" w:type="dxa"/>
            <w:bottom w:w="15" w:type="dxa"/>
            <w:right w:w="15" w:type="dxa"/>
          </w:tblCellMar>
        </w:tblPrEx>
        <w:trPr>
          <w:trHeight w:val="283" w:hRule="exact"/>
        </w:trPr>
        <w:tc>
          <w:tcPr>
            <w:tcW w:w="2806" w:type="dxa"/>
            <w:tcBorders>
              <w:top w:val="single" w:color="000000" w:sz="12" w:space="0"/>
              <w:left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双师</w:t>
            </w:r>
          </w:p>
        </w:tc>
        <w:tc>
          <w:tcPr>
            <w:tcW w:w="2808" w:type="dxa"/>
            <w:tcBorders>
              <w:top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72%</w:t>
            </w:r>
          </w:p>
        </w:tc>
        <w:tc>
          <w:tcPr>
            <w:tcW w:w="3279" w:type="dxa"/>
            <w:tcBorders>
              <w:top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72%</w:t>
            </w:r>
          </w:p>
        </w:tc>
      </w:tr>
      <w:tr>
        <w:tblPrEx>
          <w:tblLayout w:type="fixed"/>
          <w:tblCellMar>
            <w:top w:w="15" w:type="dxa"/>
            <w:left w:w="15" w:type="dxa"/>
            <w:bottom w:w="15" w:type="dxa"/>
            <w:right w:w="15" w:type="dxa"/>
          </w:tblCellMar>
        </w:tblPrEx>
        <w:trPr>
          <w:trHeight w:val="283" w:hRule="exact"/>
        </w:trPr>
        <w:tc>
          <w:tcPr>
            <w:tcW w:w="2806" w:type="dxa"/>
            <w:tcBorders>
              <w:left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非双师</w:t>
            </w:r>
          </w:p>
        </w:tc>
        <w:tc>
          <w:tcPr>
            <w:tcW w:w="2808" w:type="dxa"/>
            <w:tcBorders>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43.30%</w:t>
            </w:r>
          </w:p>
        </w:tc>
        <w:tc>
          <w:tcPr>
            <w:tcW w:w="3279" w:type="dxa"/>
            <w:tcBorders>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43.30%</w:t>
            </w:r>
          </w:p>
        </w:tc>
      </w:tr>
      <w:tr>
        <w:tblPrEx>
          <w:tblLayout w:type="fixed"/>
          <w:tblCellMar>
            <w:top w:w="15" w:type="dxa"/>
            <w:left w:w="15" w:type="dxa"/>
            <w:bottom w:w="15" w:type="dxa"/>
            <w:right w:w="15" w:type="dxa"/>
          </w:tblCellMar>
        </w:tblPrEx>
        <w:trPr>
          <w:trHeight w:val="283" w:hRule="exact"/>
        </w:trPr>
        <w:tc>
          <w:tcPr>
            <w:tcW w:w="2806" w:type="dxa"/>
            <w:tcBorders>
              <w:top w:val="single" w:color="000000" w:sz="12" w:space="0"/>
              <w:left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兼职</w:t>
            </w:r>
          </w:p>
        </w:tc>
        <w:tc>
          <w:tcPr>
            <w:tcW w:w="2808" w:type="dxa"/>
            <w:tcBorders>
              <w:top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17.50%</w:t>
            </w:r>
          </w:p>
        </w:tc>
        <w:tc>
          <w:tcPr>
            <w:tcW w:w="3279" w:type="dxa"/>
            <w:tcBorders>
              <w:top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szCs w:val="21"/>
              </w:rPr>
              <w:t>3.6%</w:t>
            </w:r>
          </w:p>
        </w:tc>
      </w:tr>
      <w:tr>
        <w:tblPrEx>
          <w:tblLayout w:type="fixed"/>
          <w:tblCellMar>
            <w:top w:w="15" w:type="dxa"/>
            <w:left w:w="15" w:type="dxa"/>
            <w:bottom w:w="15" w:type="dxa"/>
            <w:right w:w="15" w:type="dxa"/>
          </w:tblCellMar>
        </w:tblPrEx>
        <w:trPr>
          <w:trHeight w:val="283" w:hRule="exact"/>
        </w:trPr>
        <w:tc>
          <w:tcPr>
            <w:tcW w:w="2806" w:type="dxa"/>
            <w:tcBorders>
              <w:left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非兼职</w:t>
            </w:r>
          </w:p>
        </w:tc>
        <w:tc>
          <w:tcPr>
            <w:tcW w:w="2808" w:type="dxa"/>
            <w:tcBorders>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82.50%</w:t>
            </w:r>
          </w:p>
        </w:tc>
        <w:tc>
          <w:tcPr>
            <w:tcW w:w="3279" w:type="dxa"/>
            <w:tcBorders>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szCs w:val="21"/>
              </w:rPr>
              <w:t>95.4%</w:t>
            </w:r>
          </w:p>
        </w:tc>
      </w:tr>
      <w:tr>
        <w:tblPrEx>
          <w:tblLayout w:type="fixed"/>
          <w:tblCellMar>
            <w:top w:w="15" w:type="dxa"/>
            <w:left w:w="15" w:type="dxa"/>
            <w:bottom w:w="15" w:type="dxa"/>
            <w:right w:w="15" w:type="dxa"/>
          </w:tblCellMar>
        </w:tblPrEx>
        <w:trPr>
          <w:trHeight w:val="283" w:hRule="exact"/>
        </w:trPr>
        <w:tc>
          <w:tcPr>
            <w:tcW w:w="2806" w:type="dxa"/>
            <w:tcBorders>
              <w:top w:val="single" w:color="000000" w:sz="12" w:space="0"/>
              <w:left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本科以上</w:t>
            </w:r>
          </w:p>
        </w:tc>
        <w:tc>
          <w:tcPr>
            <w:tcW w:w="2808" w:type="dxa"/>
            <w:tcBorders>
              <w:top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100%</w:t>
            </w:r>
          </w:p>
        </w:tc>
        <w:tc>
          <w:tcPr>
            <w:tcW w:w="3279" w:type="dxa"/>
            <w:tcBorders>
              <w:top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100%</w:t>
            </w:r>
          </w:p>
        </w:tc>
      </w:tr>
      <w:tr>
        <w:tblPrEx>
          <w:tblLayout w:type="fixed"/>
          <w:tblCellMar>
            <w:top w:w="15" w:type="dxa"/>
            <w:left w:w="15" w:type="dxa"/>
            <w:bottom w:w="15" w:type="dxa"/>
            <w:right w:w="15" w:type="dxa"/>
          </w:tblCellMar>
        </w:tblPrEx>
        <w:trPr>
          <w:trHeight w:val="283" w:hRule="exact"/>
        </w:trPr>
        <w:tc>
          <w:tcPr>
            <w:tcW w:w="2806" w:type="dxa"/>
            <w:tcBorders>
              <w:left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本科以下</w:t>
            </w:r>
          </w:p>
        </w:tc>
        <w:tc>
          <w:tcPr>
            <w:tcW w:w="2808" w:type="dxa"/>
            <w:tcBorders>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0%</w:t>
            </w:r>
          </w:p>
        </w:tc>
        <w:tc>
          <w:tcPr>
            <w:tcW w:w="3279" w:type="dxa"/>
            <w:tcBorders>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0%</w:t>
            </w:r>
          </w:p>
        </w:tc>
      </w:tr>
      <w:tr>
        <w:tblPrEx>
          <w:tblLayout w:type="fixed"/>
          <w:tblCellMar>
            <w:top w:w="15" w:type="dxa"/>
            <w:left w:w="15" w:type="dxa"/>
            <w:bottom w:w="15" w:type="dxa"/>
            <w:right w:w="15" w:type="dxa"/>
          </w:tblCellMar>
        </w:tblPrEx>
        <w:trPr>
          <w:trHeight w:val="283" w:hRule="exact"/>
        </w:trPr>
        <w:tc>
          <w:tcPr>
            <w:tcW w:w="2806" w:type="dxa"/>
            <w:tcBorders>
              <w:top w:val="single" w:color="000000" w:sz="12" w:space="0"/>
              <w:left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硕士以上</w:t>
            </w:r>
          </w:p>
        </w:tc>
        <w:tc>
          <w:tcPr>
            <w:tcW w:w="2808" w:type="dxa"/>
            <w:tcBorders>
              <w:top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8.60%</w:t>
            </w:r>
          </w:p>
        </w:tc>
        <w:tc>
          <w:tcPr>
            <w:tcW w:w="3279" w:type="dxa"/>
            <w:tcBorders>
              <w:top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8.60%</w:t>
            </w:r>
          </w:p>
        </w:tc>
      </w:tr>
      <w:tr>
        <w:tblPrEx>
          <w:tblLayout w:type="fixed"/>
          <w:tblCellMar>
            <w:top w:w="15" w:type="dxa"/>
            <w:left w:w="15" w:type="dxa"/>
            <w:bottom w:w="15" w:type="dxa"/>
            <w:right w:w="15" w:type="dxa"/>
          </w:tblCellMar>
        </w:tblPrEx>
        <w:trPr>
          <w:trHeight w:val="283" w:hRule="exact"/>
        </w:trPr>
        <w:tc>
          <w:tcPr>
            <w:tcW w:w="2806" w:type="dxa"/>
            <w:tcBorders>
              <w:left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硕士以下</w:t>
            </w:r>
          </w:p>
        </w:tc>
        <w:tc>
          <w:tcPr>
            <w:tcW w:w="2808" w:type="dxa"/>
            <w:tcBorders>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91.40%</w:t>
            </w:r>
          </w:p>
        </w:tc>
        <w:tc>
          <w:tcPr>
            <w:tcW w:w="3279" w:type="dxa"/>
            <w:tcBorders>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91.40%</w:t>
            </w:r>
          </w:p>
        </w:tc>
      </w:tr>
      <w:tr>
        <w:tblPrEx>
          <w:tblLayout w:type="fixed"/>
          <w:tblCellMar>
            <w:top w:w="15" w:type="dxa"/>
            <w:left w:w="15" w:type="dxa"/>
            <w:bottom w:w="15" w:type="dxa"/>
            <w:right w:w="15" w:type="dxa"/>
          </w:tblCellMar>
        </w:tblPrEx>
        <w:trPr>
          <w:trHeight w:val="283" w:hRule="exact"/>
        </w:trPr>
        <w:tc>
          <w:tcPr>
            <w:tcW w:w="2806" w:type="dxa"/>
            <w:tcBorders>
              <w:top w:val="single" w:color="000000" w:sz="12" w:space="0"/>
              <w:left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高级职称</w:t>
            </w:r>
          </w:p>
        </w:tc>
        <w:tc>
          <w:tcPr>
            <w:tcW w:w="2808" w:type="dxa"/>
            <w:tcBorders>
              <w:top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43.90%</w:t>
            </w:r>
          </w:p>
        </w:tc>
        <w:tc>
          <w:tcPr>
            <w:tcW w:w="3279" w:type="dxa"/>
            <w:tcBorders>
              <w:top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43.90%</w:t>
            </w:r>
          </w:p>
        </w:tc>
      </w:tr>
      <w:tr>
        <w:tblPrEx>
          <w:tblLayout w:type="fixed"/>
          <w:tblCellMar>
            <w:top w:w="15" w:type="dxa"/>
            <w:left w:w="15" w:type="dxa"/>
            <w:bottom w:w="15" w:type="dxa"/>
            <w:right w:w="15" w:type="dxa"/>
          </w:tblCellMar>
        </w:tblPrEx>
        <w:trPr>
          <w:trHeight w:val="283" w:hRule="exact"/>
        </w:trPr>
        <w:tc>
          <w:tcPr>
            <w:tcW w:w="2806" w:type="dxa"/>
            <w:tcBorders>
              <w:left w:val="single" w:color="000000" w:sz="12" w:space="0"/>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非高职称</w:t>
            </w:r>
          </w:p>
        </w:tc>
        <w:tc>
          <w:tcPr>
            <w:tcW w:w="2808" w:type="dxa"/>
            <w:tcBorders>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56.10%</w:t>
            </w:r>
          </w:p>
        </w:tc>
        <w:tc>
          <w:tcPr>
            <w:tcW w:w="3279" w:type="dxa"/>
            <w:tcBorders>
              <w:bottom w:val="single" w:color="000000" w:sz="12" w:space="0"/>
              <w:right w:val="single" w:color="000000" w:sz="12" w:space="0"/>
            </w:tcBorders>
            <w:shd w:val="clear" w:color="auto" w:fill="92D050"/>
            <w:vAlign w:val="bottom"/>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56.10%</w:t>
            </w:r>
          </w:p>
        </w:tc>
      </w:tr>
    </w:tbl>
    <w:p/>
    <w:p>
      <w:pPr>
        <w:rPr>
          <w:rFonts w:ascii="仿宋_GB2312" w:hAnsi="仿宋_GB2312" w:eastAsia="仿宋_GB2312" w:cs="仿宋_GB2312"/>
          <w:color w:val="333333"/>
          <w:sz w:val="32"/>
          <w:szCs w:val="32"/>
          <w:shd w:val="clear" w:color="auto" w:fill="FFFFFF"/>
        </w:rPr>
      </w:pPr>
      <w:r>
        <w:drawing>
          <wp:inline distT="0" distB="0" distL="114300" distR="114300">
            <wp:extent cx="5602605" cy="2188210"/>
            <wp:effectExtent l="13970" t="13970" r="22225" b="26670"/>
            <wp:docPr id="37"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1.4设施设备</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建有农林、会计电算化、电子电工、电力拖动、电子工艺、电气装配与维修、PLC、自动化生产控制模拟室、钢铁冶炼模拟室、现代服务、语音室及钳工车间、焊接车间、机床加工车间等20个实训室。建有健身房、心理宣泄室、书画教室、多功能展厅、3D多媒体实训室和校园电视台等功能厅室。2017年建成3D打印室</w:t>
      </w:r>
      <w:r>
        <w:rPr>
          <w:rFonts w:hint="eastAsia" w:ascii="仿宋_GB2312" w:hAnsi="仿宋_GB2312" w:eastAsia="仿宋_GB2312" w:cs="仿宋_GB2312"/>
          <w:color w:val="333333"/>
          <w:sz w:val="32"/>
          <w:szCs w:val="32"/>
          <w:shd w:val="clear" w:color="auto" w:fill="FFFFFF"/>
          <w:lang w:eastAsia="zh-CN"/>
        </w:rPr>
        <w:t>，</w:t>
      </w:r>
      <w:r>
        <w:rPr>
          <w:rFonts w:hint="eastAsia" w:ascii="仿宋_GB2312" w:hAnsi="仿宋_GB2312" w:eastAsia="仿宋_GB2312" w:cs="仿宋_GB2312"/>
          <w:color w:val="333333"/>
          <w:sz w:val="32"/>
          <w:szCs w:val="32"/>
          <w:shd w:val="clear" w:color="auto" w:fill="FFFFFF"/>
          <w:lang w:val="en-US" w:eastAsia="zh-CN"/>
        </w:rPr>
        <w:t>2018年建成</w:t>
      </w:r>
      <w:r>
        <w:rPr>
          <w:rFonts w:hint="eastAsia" w:ascii="仿宋" w:hAnsi="仿宋" w:eastAsia="仿宋" w:cs="楷体_GB2312"/>
          <w:bCs/>
          <w:sz w:val="32"/>
          <w:szCs w:val="32"/>
        </w:rPr>
        <w:t>宽城职教中心特种行业考试及自动温控温室基地</w:t>
      </w:r>
      <w:r>
        <w:rPr>
          <w:rFonts w:hint="eastAsia" w:ascii="仿宋_GB2312" w:hAnsi="仿宋_GB2312" w:eastAsia="仿宋_GB2312" w:cs="仿宋_GB2312"/>
          <w:color w:val="333333"/>
          <w:sz w:val="32"/>
          <w:szCs w:val="32"/>
          <w:shd w:val="clear" w:color="auto" w:fill="FFFFFF"/>
        </w:rPr>
        <w:t>。</w:t>
      </w:r>
    </w:p>
    <w:p>
      <w:pPr>
        <w:jc w:val="center"/>
        <w:rPr>
          <w:rFonts w:ascii="华文新魏" w:hAnsi="华文新魏" w:eastAsia="华文新魏" w:cs="华文新魏"/>
          <w:color w:val="333333"/>
          <w:sz w:val="32"/>
          <w:szCs w:val="32"/>
          <w:shd w:val="clear" w:color="auto" w:fill="FFFFFF"/>
        </w:rPr>
      </w:pPr>
      <w:r>
        <w:rPr>
          <w:rFonts w:hint="eastAsia" w:ascii="华文新魏" w:hAnsi="华文新魏" w:eastAsia="华文新魏" w:cs="华文新魏"/>
          <w:color w:val="333333"/>
          <w:sz w:val="32"/>
          <w:szCs w:val="32"/>
          <w:shd w:val="clear" w:color="auto" w:fill="FFFFFF"/>
        </w:rPr>
        <w:drawing>
          <wp:inline distT="0" distB="0" distL="114300" distR="114300">
            <wp:extent cx="5698490" cy="2117090"/>
            <wp:effectExtent l="0" t="0" r="16510" b="16510"/>
            <wp:docPr id="18"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
                    <pic:cNvPicPr>
                      <a:picLocks noChangeAspect="1"/>
                    </pic:cNvPicPr>
                  </pic:nvPicPr>
                  <pic:blipFill>
                    <a:blip r:embed="rId18" cstate="print"/>
                    <a:stretch>
                      <a:fillRect/>
                    </a:stretch>
                  </pic:blipFill>
                  <pic:spPr>
                    <a:xfrm>
                      <a:off x="0" y="0"/>
                      <a:ext cx="5698490" cy="2117090"/>
                    </a:xfrm>
                    <a:prstGeom prst="rect">
                      <a:avLst/>
                    </a:prstGeom>
                  </pic:spPr>
                </pic:pic>
              </a:graphicData>
            </a:graphic>
          </wp:inline>
        </w:drawing>
      </w:r>
    </w:p>
    <w:p>
      <w:pPr>
        <w:jc w:val="center"/>
        <w:rPr>
          <w:rFonts w:ascii="华文新魏" w:hAnsi="华文新魏" w:eastAsia="华文新魏" w:cs="华文新魏"/>
          <w:color w:val="333333"/>
          <w:sz w:val="32"/>
          <w:szCs w:val="32"/>
          <w:shd w:val="clear" w:color="auto" w:fill="FFFFFF"/>
        </w:rPr>
      </w:pPr>
      <w:r>
        <w:rPr>
          <w:rFonts w:hint="eastAsia" w:ascii="华文新魏" w:hAnsi="华文新魏" w:eastAsia="华文新魏" w:cs="华文新魏"/>
          <w:color w:val="333333"/>
          <w:sz w:val="32"/>
          <w:szCs w:val="32"/>
          <w:shd w:val="clear" w:color="auto" w:fill="FFFFFF"/>
        </w:rPr>
        <w:t>实训室及实训设备</w:t>
      </w:r>
    </w:p>
    <w:p>
      <w:pPr>
        <w:ind w:firstLine="640" w:firstLineChars="200"/>
        <w:rPr>
          <w:rFonts w:ascii="华文新魏" w:hAnsi="华文新魏" w:eastAsia="华文新魏" w:cs="华文新魏"/>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学校是河北省工业和信息化厅、河北省教育厅联合授权的“电子行业特有工种职业技能鉴定”单位，能够鉴定电子设备装接工4级和计算机装调员4级工种2个。学生在校期间可以根据需要申请多次考证。</w:t>
      </w:r>
      <w:r>
        <w:rPr>
          <w:rFonts w:hint="eastAsia" w:ascii="仿宋_GB2312" w:hAnsi="仿宋_GB2312" w:eastAsia="仿宋_GB2312" w:cs="仿宋_GB2312"/>
          <w:color w:val="333333"/>
          <w:sz w:val="32"/>
          <w:szCs w:val="32"/>
          <w:shd w:val="clear" w:color="auto" w:fill="FFFFFF"/>
          <w:lang w:val="en-US" w:eastAsia="zh-CN"/>
        </w:rPr>
        <w:t>2017、</w:t>
      </w:r>
      <w:r>
        <w:rPr>
          <w:rFonts w:hint="eastAsia" w:ascii="仿宋_GB2312" w:hAnsi="仿宋_GB2312" w:eastAsia="仿宋_GB2312" w:cs="仿宋_GB2312"/>
          <w:color w:val="333333"/>
          <w:sz w:val="32"/>
          <w:szCs w:val="32"/>
          <w:shd w:val="clear" w:color="auto" w:fill="FFFFFF"/>
        </w:rPr>
        <w:t>201</w:t>
      </w:r>
      <w:r>
        <w:rPr>
          <w:rFonts w:hint="eastAsia" w:ascii="仿宋_GB2312" w:hAnsi="仿宋_GB2312" w:eastAsia="仿宋_GB2312" w:cs="仿宋_GB2312"/>
          <w:color w:val="333333"/>
          <w:sz w:val="32"/>
          <w:szCs w:val="32"/>
          <w:shd w:val="clear" w:color="auto" w:fill="FFFFFF"/>
          <w:lang w:val="en-US" w:eastAsia="zh-CN"/>
        </w:rPr>
        <w:t>8</w:t>
      </w:r>
      <w:r>
        <w:rPr>
          <w:rFonts w:hint="eastAsia" w:ascii="仿宋_GB2312" w:hAnsi="仿宋_GB2312" w:eastAsia="仿宋_GB2312" w:cs="仿宋_GB2312"/>
          <w:color w:val="333333"/>
          <w:sz w:val="32"/>
          <w:szCs w:val="32"/>
          <w:shd w:val="clear" w:color="auto" w:fill="FFFFFF"/>
        </w:rPr>
        <w:t>年，学校被河北省教育厅和工业与信息化厅联合授予“电子行业职业技能鉴定先进单位”。</w:t>
      </w:r>
    </w:p>
    <w:p>
      <w:pPr>
        <w:jc w:val="center"/>
        <w:rPr>
          <w:rFonts w:ascii="华文新魏" w:hAnsi="华文新魏" w:eastAsia="华文新魏" w:cs="华文新魏"/>
          <w:color w:val="333333"/>
          <w:sz w:val="32"/>
          <w:szCs w:val="32"/>
          <w:shd w:val="clear" w:color="auto" w:fill="FFFFFF"/>
        </w:rPr>
      </w:pPr>
      <w:r>
        <w:rPr>
          <w:rFonts w:hint="eastAsia" w:ascii="华文新魏" w:hAnsi="华文新魏" w:eastAsia="华文新魏" w:cs="华文新魏"/>
          <w:color w:val="333333"/>
          <w:sz w:val="32"/>
          <w:szCs w:val="32"/>
          <w:shd w:val="clear" w:color="auto" w:fill="FFFFFF"/>
        </w:rPr>
        <w:drawing>
          <wp:inline distT="0" distB="0" distL="114300" distR="114300">
            <wp:extent cx="5697855" cy="2279015"/>
            <wp:effectExtent l="0" t="0" r="17145" b="6985"/>
            <wp:docPr id="17" name="图片 17" descr="电子鉴定协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电子鉴定协议"/>
                    <pic:cNvPicPr>
                      <a:picLocks noChangeAspect="1"/>
                    </pic:cNvPicPr>
                  </pic:nvPicPr>
                  <pic:blipFill>
                    <a:blip r:embed="rId19" cstate="print"/>
                    <a:stretch>
                      <a:fillRect/>
                    </a:stretch>
                  </pic:blipFill>
                  <pic:spPr>
                    <a:xfrm>
                      <a:off x="0" y="0"/>
                      <a:ext cx="5697855" cy="2279015"/>
                    </a:xfrm>
                    <a:prstGeom prst="rect">
                      <a:avLst/>
                    </a:prstGeom>
                  </pic:spPr>
                </pic:pic>
              </a:graphicData>
            </a:graphic>
          </wp:inline>
        </w:drawing>
      </w:r>
    </w:p>
    <w:p>
      <w:pPr>
        <w:jc w:val="center"/>
        <w:rPr>
          <w:rFonts w:ascii="华文新魏" w:hAnsi="华文新魏" w:eastAsia="华文新魏" w:cs="华文新魏"/>
          <w:color w:val="333333"/>
          <w:sz w:val="32"/>
          <w:szCs w:val="32"/>
          <w:shd w:val="clear" w:color="auto" w:fill="FFFFFF"/>
        </w:rPr>
      </w:pPr>
      <w:r>
        <w:rPr>
          <w:rFonts w:hint="eastAsia" w:ascii="华文新魏" w:hAnsi="华文新魏" w:eastAsia="华文新魏" w:cs="华文新魏"/>
          <w:color w:val="333333"/>
          <w:sz w:val="32"/>
          <w:szCs w:val="32"/>
          <w:shd w:val="clear" w:color="auto" w:fill="FFFFFF"/>
        </w:rPr>
        <w:t>河北省电子行业特有工种技能实训基地揭牌仪式</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1.4.1生均教学仪器设备值</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2018年实验实训设备总值由2017年的1707.93万元上升到</w:t>
      </w:r>
      <w:r>
        <w:rPr>
          <w:rFonts w:hint="eastAsia" w:ascii="仿宋_GB2312" w:hAnsi="仿宋_GB2312" w:eastAsia="仿宋_GB2312" w:cs="仿宋_GB2312"/>
          <w:color w:val="333333"/>
          <w:sz w:val="32"/>
          <w:szCs w:val="32"/>
          <w:shd w:val="clear" w:color="auto" w:fill="FFFFFF"/>
          <w:lang w:val="en-US" w:eastAsia="zh-CN"/>
        </w:rPr>
        <w:t>2087.93</w:t>
      </w:r>
      <w:r>
        <w:rPr>
          <w:rFonts w:hint="eastAsia" w:ascii="仿宋_GB2312" w:hAnsi="仿宋_GB2312" w:eastAsia="仿宋_GB2312" w:cs="仿宋_GB2312"/>
          <w:color w:val="333333"/>
          <w:sz w:val="32"/>
          <w:szCs w:val="32"/>
          <w:shd w:val="clear" w:color="auto" w:fill="FFFFFF"/>
        </w:rPr>
        <w:t>万元，生均设备值</w:t>
      </w:r>
      <w:r>
        <w:rPr>
          <w:rFonts w:hint="eastAsia" w:ascii="仿宋_GB2312" w:hAnsi="仿宋_GB2312" w:eastAsia="仿宋_GB2312" w:cs="仿宋_GB2312"/>
          <w:color w:val="333333"/>
          <w:sz w:val="32"/>
          <w:szCs w:val="32"/>
          <w:shd w:val="clear" w:color="auto" w:fill="FFFFFF"/>
          <w:lang w:val="en-US" w:eastAsia="zh-CN"/>
        </w:rPr>
        <w:t>9853</w:t>
      </w:r>
      <w:r>
        <w:rPr>
          <w:rFonts w:hint="eastAsia" w:ascii="仿宋_GB2312" w:hAnsi="仿宋_GB2312" w:eastAsia="仿宋_GB2312" w:cs="仿宋_GB2312"/>
          <w:color w:val="333333"/>
          <w:sz w:val="32"/>
          <w:szCs w:val="32"/>
          <w:shd w:val="clear" w:color="auto" w:fill="FFFFFF"/>
        </w:rPr>
        <w:t>元，同比增长</w:t>
      </w:r>
      <w:r>
        <w:rPr>
          <w:rFonts w:hint="eastAsia" w:ascii="仿宋_GB2312" w:hAnsi="仿宋_GB2312" w:eastAsia="仿宋_GB2312" w:cs="仿宋_GB2312"/>
          <w:color w:val="333333"/>
          <w:sz w:val="32"/>
          <w:szCs w:val="32"/>
          <w:shd w:val="clear" w:color="auto" w:fill="FFFFFF"/>
          <w:lang w:val="en-US" w:eastAsia="zh-CN"/>
        </w:rPr>
        <w:t>20</w:t>
      </w:r>
      <w:r>
        <w:rPr>
          <w:rFonts w:hint="eastAsia" w:ascii="仿宋_GB2312" w:hAnsi="仿宋_GB2312" w:eastAsia="仿宋_GB2312" w:cs="仿宋_GB2312"/>
          <w:color w:val="333333"/>
          <w:sz w:val="32"/>
          <w:szCs w:val="32"/>
          <w:shd w:val="clear" w:color="auto" w:fill="FFFFFF"/>
        </w:rPr>
        <w:t>%。校内实训基地仪器设备总值由2017年的1429万元上升到1460万元。</w:t>
      </w:r>
    </w:p>
    <w:p>
      <w:pPr>
        <w:rPr>
          <w:rFonts w:hint="eastAsia"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 xml:space="preserve">表7 </w:t>
      </w:r>
    </w:p>
    <w:tbl>
      <w:tblPr>
        <w:tblStyle w:val="10"/>
        <w:tblW w:w="9060" w:type="dxa"/>
        <w:tblInd w:w="0" w:type="dxa"/>
        <w:tblLayout w:type="fixed"/>
        <w:tblCellMar>
          <w:top w:w="15" w:type="dxa"/>
          <w:left w:w="15" w:type="dxa"/>
          <w:bottom w:w="15" w:type="dxa"/>
          <w:right w:w="15" w:type="dxa"/>
        </w:tblCellMar>
      </w:tblPr>
      <w:tblGrid>
        <w:gridCol w:w="2987"/>
        <w:gridCol w:w="3535"/>
        <w:gridCol w:w="2538"/>
      </w:tblGrid>
      <w:tr>
        <w:tblPrEx>
          <w:tblLayout w:type="fixed"/>
          <w:tblCellMar>
            <w:top w:w="15" w:type="dxa"/>
            <w:left w:w="15" w:type="dxa"/>
            <w:bottom w:w="15" w:type="dxa"/>
            <w:right w:w="15" w:type="dxa"/>
          </w:tblCellMar>
        </w:tblPrEx>
        <w:trPr>
          <w:trHeight w:val="312" w:hRule="exact"/>
        </w:trPr>
        <w:tc>
          <w:tcPr>
            <w:tcW w:w="2987"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center"/>
              <w:rPr>
                <w:rFonts w:ascii="仿宋" w:hAnsi="仿宋" w:eastAsia="仿宋" w:cs="仿宋_GB2312"/>
                <w:color w:val="000000"/>
                <w:sz w:val="22"/>
                <w:szCs w:val="22"/>
              </w:rPr>
            </w:pPr>
            <w:r>
              <w:rPr>
                <w:rFonts w:hint="eastAsia" w:ascii="仿宋" w:hAnsi="仿宋" w:eastAsia="仿宋" w:cs="仿宋_GB2312"/>
                <w:color w:val="000000"/>
                <w:kern w:val="0"/>
                <w:sz w:val="22"/>
                <w:szCs w:val="22"/>
              </w:rPr>
              <w:t>项目</w:t>
            </w:r>
          </w:p>
        </w:tc>
        <w:tc>
          <w:tcPr>
            <w:tcW w:w="3535"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center"/>
              <w:rPr>
                <w:rFonts w:ascii="仿宋" w:hAnsi="仿宋" w:eastAsia="仿宋" w:cs="仿宋_GB2312"/>
                <w:color w:val="000000"/>
                <w:sz w:val="22"/>
                <w:szCs w:val="22"/>
              </w:rPr>
            </w:pPr>
            <w:r>
              <w:rPr>
                <w:rFonts w:hint="eastAsia" w:ascii="仿宋" w:hAnsi="仿宋" w:eastAsia="仿宋" w:cs="仿宋_GB2312"/>
                <w:color w:val="000000"/>
                <w:kern w:val="0"/>
                <w:sz w:val="22"/>
                <w:szCs w:val="22"/>
              </w:rPr>
              <w:t>201</w:t>
            </w:r>
            <w:r>
              <w:rPr>
                <w:rFonts w:hint="eastAsia" w:ascii="仿宋" w:hAnsi="仿宋" w:eastAsia="仿宋" w:cs="仿宋_GB2312"/>
                <w:color w:val="000000"/>
                <w:kern w:val="0"/>
                <w:sz w:val="22"/>
                <w:szCs w:val="22"/>
                <w:lang w:val="en-US" w:eastAsia="zh-CN"/>
              </w:rPr>
              <w:t>7</w:t>
            </w:r>
            <w:r>
              <w:rPr>
                <w:rFonts w:hint="eastAsia" w:ascii="仿宋" w:hAnsi="仿宋" w:eastAsia="仿宋" w:cs="仿宋_GB2312"/>
                <w:color w:val="000000"/>
                <w:kern w:val="0"/>
                <w:sz w:val="22"/>
                <w:szCs w:val="22"/>
              </w:rPr>
              <w:t>年度</w:t>
            </w:r>
          </w:p>
        </w:tc>
        <w:tc>
          <w:tcPr>
            <w:tcW w:w="2538"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center"/>
              <w:rPr>
                <w:rFonts w:ascii="仿宋" w:hAnsi="仿宋" w:eastAsia="仿宋" w:cs="仿宋_GB2312"/>
                <w:color w:val="000000"/>
                <w:sz w:val="22"/>
                <w:szCs w:val="22"/>
              </w:rPr>
            </w:pPr>
            <w:r>
              <w:rPr>
                <w:rFonts w:hint="eastAsia" w:ascii="仿宋" w:hAnsi="仿宋" w:eastAsia="仿宋" w:cs="仿宋_GB2312"/>
                <w:color w:val="000000"/>
                <w:kern w:val="0"/>
                <w:sz w:val="22"/>
                <w:szCs w:val="22"/>
              </w:rPr>
              <w:t>201</w:t>
            </w:r>
            <w:r>
              <w:rPr>
                <w:rFonts w:hint="eastAsia" w:ascii="仿宋" w:hAnsi="仿宋" w:eastAsia="仿宋" w:cs="仿宋_GB2312"/>
                <w:color w:val="000000"/>
                <w:kern w:val="0"/>
                <w:sz w:val="22"/>
                <w:szCs w:val="22"/>
                <w:lang w:val="en-US" w:eastAsia="zh-CN"/>
              </w:rPr>
              <w:t>8</w:t>
            </w:r>
            <w:r>
              <w:rPr>
                <w:rFonts w:hint="eastAsia" w:ascii="仿宋" w:hAnsi="仿宋" w:eastAsia="仿宋" w:cs="仿宋_GB2312"/>
                <w:color w:val="000000"/>
                <w:kern w:val="0"/>
                <w:sz w:val="22"/>
                <w:szCs w:val="22"/>
              </w:rPr>
              <w:t>年度</w:t>
            </w:r>
          </w:p>
        </w:tc>
      </w:tr>
      <w:tr>
        <w:tblPrEx>
          <w:tblLayout w:type="fixed"/>
          <w:tblCellMar>
            <w:top w:w="15" w:type="dxa"/>
            <w:left w:w="15" w:type="dxa"/>
            <w:bottom w:w="15" w:type="dxa"/>
            <w:right w:w="15" w:type="dxa"/>
          </w:tblCellMar>
        </w:tblPrEx>
        <w:trPr>
          <w:trHeight w:val="323" w:hRule="exact"/>
        </w:trPr>
        <w:tc>
          <w:tcPr>
            <w:tcW w:w="29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仿宋" w:hAnsi="仿宋" w:eastAsia="仿宋" w:cs="仿宋_GB2312"/>
                <w:color w:val="000000"/>
                <w:sz w:val="22"/>
                <w:szCs w:val="22"/>
              </w:rPr>
            </w:pPr>
            <w:r>
              <w:rPr>
                <w:rFonts w:hint="eastAsia" w:ascii="仿宋" w:hAnsi="仿宋" w:eastAsia="仿宋" w:cs="仿宋_GB2312"/>
                <w:color w:val="000000"/>
                <w:kern w:val="0"/>
                <w:sz w:val="22"/>
                <w:szCs w:val="22"/>
              </w:rPr>
              <w:t>设备总值万</w:t>
            </w:r>
          </w:p>
        </w:tc>
        <w:tc>
          <w:tcPr>
            <w:tcW w:w="3535"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hint="eastAsia" w:ascii="仿宋" w:hAnsi="仿宋" w:eastAsia="仿宋" w:cs="仿宋_GB2312"/>
                <w:color w:val="000000"/>
                <w:sz w:val="22"/>
                <w:szCs w:val="22"/>
                <w:lang w:val="en-US" w:eastAsia="zh-CN"/>
              </w:rPr>
            </w:pPr>
            <w:r>
              <w:rPr>
                <w:rFonts w:hint="eastAsia" w:ascii="仿宋" w:hAnsi="仿宋" w:eastAsia="仿宋" w:cs="仿宋_GB2312"/>
                <w:color w:val="000000"/>
                <w:kern w:val="0"/>
                <w:sz w:val="22"/>
                <w:szCs w:val="22"/>
                <w:lang w:val="en-US" w:eastAsia="zh-CN"/>
              </w:rPr>
              <w:t>1707.39</w:t>
            </w:r>
          </w:p>
        </w:tc>
        <w:tc>
          <w:tcPr>
            <w:tcW w:w="2538"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hint="eastAsia" w:ascii="仿宋" w:hAnsi="仿宋" w:eastAsia="仿宋" w:cs="仿宋_GB2312"/>
                <w:color w:val="000000"/>
                <w:sz w:val="22"/>
                <w:szCs w:val="22"/>
                <w:lang w:val="en-US" w:eastAsia="zh-CN"/>
              </w:rPr>
            </w:pPr>
            <w:r>
              <w:rPr>
                <w:rFonts w:hint="eastAsia" w:ascii="仿宋" w:hAnsi="仿宋" w:eastAsia="仿宋" w:cs="仿宋_GB2312"/>
                <w:color w:val="000000"/>
                <w:kern w:val="0"/>
                <w:sz w:val="22"/>
                <w:szCs w:val="22"/>
                <w:lang w:val="en-US" w:eastAsia="zh-CN"/>
              </w:rPr>
              <w:t>2087.93</w:t>
            </w:r>
          </w:p>
        </w:tc>
      </w:tr>
    </w:tbl>
    <w:p>
      <w:pPr>
        <w:jc w:val="center"/>
        <w:rPr>
          <w:rFonts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 w:val="28"/>
          <w:szCs w:val="28"/>
          <w:shd w:val="clear" w:color="auto" w:fill="FFFFFF"/>
        </w:rPr>
        <w:t>设备总值</w:t>
      </w:r>
    </w:p>
    <w:p>
      <w:r>
        <w:drawing>
          <wp:inline distT="0" distB="0" distL="114300" distR="114300">
            <wp:extent cx="5659120" cy="1845945"/>
            <wp:effectExtent l="4445" t="4445" r="13335" b="16510"/>
            <wp:docPr id="38"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
        <w:rPr>
          <w:rFonts w:hint="eastAsia" w:ascii="仿宋_GB2312" w:hAnsi="仿宋_GB2312" w:eastAsia="仿宋_GB2312" w:cs="仿宋_GB2312"/>
        </w:rPr>
        <w:t xml:space="preserve">表8 </w:t>
      </w:r>
      <w:r>
        <w:rPr>
          <w:rFonts w:hint="eastAsia"/>
        </w:rPr>
        <w:t xml:space="preserve">                               生均设备值</w:t>
      </w:r>
    </w:p>
    <w:tbl>
      <w:tblPr>
        <w:tblStyle w:val="10"/>
        <w:tblW w:w="9080" w:type="dxa"/>
        <w:tblInd w:w="0" w:type="dxa"/>
        <w:tblLayout w:type="fixed"/>
        <w:tblCellMar>
          <w:top w:w="15" w:type="dxa"/>
          <w:left w:w="15" w:type="dxa"/>
          <w:bottom w:w="15" w:type="dxa"/>
          <w:right w:w="15" w:type="dxa"/>
        </w:tblCellMar>
      </w:tblPr>
      <w:tblGrid>
        <w:gridCol w:w="3269"/>
        <w:gridCol w:w="2615"/>
        <w:gridCol w:w="3196"/>
      </w:tblGrid>
      <w:tr>
        <w:tblPrEx>
          <w:tblLayout w:type="fixed"/>
          <w:tblCellMar>
            <w:top w:w="15" w:type="dxa"/>
            <w:left w:w="15" w:type="dxa"/>
            <w:bottom w:w="15" w:type="dxa"/>
            <w:right w:w="15" w:type="dxa"/>
          </w:tblCellMar>
        </w:tblPrEx>
        <w:trPr>
          <w:trHeight w:val="283" w:hRule="exact"/>
        </w:trPr>
        <w:tc>
          <w:tcPr>
            <w:tcW w:w="3269"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center"/>
              <w:rPr>
                <w:rFonts w:ascii="仿宋" w:hAnsi="仿宋" w:eastAsia="仿宋" w:cs="仿宋_GB2312"/>
                <w:color w:val="000000"/>
                <w:sz w:val="22"/>
                <w:szCs w:val="22"/>
              </w:rPr>
            </w:pPr>
            <w:r>
              <w:rPr>
                <w:rFonts w:hint="eastAsia" w:ascii="仿宋" w:hAnsi="仿宋" w:eastAsia="仿宋" w:cs="仿宋_GB2312"/>
                <w:color w:val="000000"/>
                <w:kern w:val="0"/>
                <w:sz w:val="22"/>
                <w:szCs w:val="22"/>
              </w:rPr>
              <w:t>项目</w:t>
            </w:r>
          </w:p>
        </w:tc>
        <w:tc>
          <w:tcPr>
            <w:tcW w:w="2615"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center"/>
              <w:rPr>
                <w:rFonts w:ascii="仿宋" w:hAnsi="仿宋" w:eastAsia="仿宋" w:cs="仿宋_GB2312"/>
                <w:color w:val="000000"/>
                <w:sz w:val="22"/>
                <w:szCs w:val="22"/>
              </w:rPr>
            </w:pPr>
            <w:r>
              <w:rPr>
                <w:rFonts w:hint="eastAsia" w:ascii="仿宋" w:hAnsi="仿宋" w:eastAsia="仿宋" w:cs="仿宋_GB2312"/>
                <w:color w:val="000000"/>
                <w:kern w:val="0"/>
                <w:sz w:val="22"/>
                <w:szCs w:val="22"/>
              </w:rPr>
              <w:t>201</w:t>
            </w:r>
            <w:r>
              <w:rPr>
                <w:rFonts w:hint="eastAsia" w:ascii="仿宋" w:hAnsi="仿宋" w:eastAsia="仿宋" w:cs="仿宋_GB2312"/>
                <w:color w:val="000000"/>
                <w:kern w:val="0"/>
                <w:sz w:val="22"/>
                <w:szCs w:val="22"/>
                <w:lang w:val="en-US" w:eastAsia="zh-CN"/>
              </w:rPr>
              <w:t>7</w:t>
            </w:r>
            <w:r>
              <w:rPr>
                <w:rFonts w:hint="eastAsia" w:ascii="仿宋" w:hAnsi="仿宋" w:eastAsia="仿宋" w:cs="仿宋_GB2312"/>
                <w:color w:val="000000"/>
                <w:kern w:val="0"/>
                <w:sz w:val="22"/>
                <w:szCs w:val="22"/>
              </w:rPr>
              <w:t>年度</w:t>
            </w:r>
          </w:p>
        </w:tc>
        <w:tc>
          <w:tcPr>
            <w:tcW w:w="319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center"/>
              <w:rPr>
                <w:rFonts w:ascii="仿宋" w:hAnsi="仿宋" w:eastAsia="仿宋" w:cs="仿宋_GB2312"/>
                <w:color w:val="000000"/>
                <w:sz w:val="22"/>
                <w:szCs w:val="22"/>
              </w:rPr>
            </w:pPr>
            <w:r>
              <w:rPr>
                <w:rFonts w:hint="eastAsia" w:ascii="仿宋" w:hAnsi="仿宋" w:eastAsia="仿宋" w:cs="仿宋_GB2312"/>
                <w:color w:val="000000"/>
                <w:kern w:val="0"/>
                <w:sz w:val="22"/>
                <w:szCs w:val="22"/>
              </w:rPr>
              <w:t>20</w:t>
            </w:r>
            <w:r>
              <w:rPr>
                <w:rFonts w:hint="eastAsia" w:ascii="仿宋" w:hAnsi="仿宋" w:eastAsia="仿宋" w:cs="仿宋_GB2312"/>
                <w:color w:val="000000"/>
                <w:kern w:val="0"/>
                <w:sz w:val="22"/>
                <w:szCs w:val="22"/>
                <w:lang w:val="en-US" w:eastAsia="zh-CN"/>
              </w:rPr>
              <w:t>18</w:t>
            </w:r>
            <w:r>
              <w:rPr>
                <w:rFonts w:hint="eastAsia" w:ascii="仿宋" w:hAnsi="仿宋" w:eastAsia="仿宋" w:cs="仿宋_GB2312"/>
                <w:color w:val="000000"/>
                <w:kern w:val="0"/>
                <w:sz w:val="22"/>
                <w:szCs w:val="22"/>
              </w:rPr>
              <w:t>年度</w:t>
            </w:r>
          </w:p>
        </w:tc>
      </w:tr>
      <w:tr>
        <w:tblPrEx>
          <w:tblLayout w:type="fixed"/>
          <w:tblCellMar>
            <w:top w:w="15" w:type="dxa"/>
            <w:left w:w="15" w:type="dxa"/>
            <w:bottom w:w="15" w:type="dxa"/>
            <w:right w:w="15" w:type="dxa"/>
          </w:tblCellMar>
        </w:tblPrEx>
        <w:trPr>
          <w:trHeight w:val="283" w:hRule="exact"/>
        </w:trPr>
        <w:tc>
          <w:tcPr>
            <w:tcW w:w="326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仿宋" w:hAnsi="仿宋" w:eastAsia="仿宋" w:cs="仿宋_GB2312"/>
                <w:color w:val="000000"/>
                <w:sz w:val="22"/>
                <w:szCs w:val="22"/>
              </w:rPr>
            </w:pPr>
            <w:r>
              <w:rPr>
                <w:rFonts w:hint="eastAsia" w:ascii="仿宋" w:hAnsi="仿宋" w:eastAsia="仿宋" w:cs="仿宋_GB2312"/>
                <w:color w:val="000000"/>
                <w:kern w:val="0"/>
                <w:sz w:val="22"/>
                <w:szCs w:val="22"/>
              </w:rPr>
              <w:t>生均设备值元</w:t>
            </w:r>
          </w:p>
        </w:tc>
        <w:tc>
          <w:tcPr>
            <w:tcW w:w="2615"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hint="eastAsia" w:ascii="仿宋" w:hAnsi="仿宋" w:eastAsia="仿宋" w:cs="仿宋_GB2312"/>
                <w:color w:val="000000"/>
                <w:sz w:val="22"/>
                <w:szCs w:val="22"/>
                <w:lang w:val="en-US" w:eastAsia="zh-CN"/>
              </w:rPr>
            </w:pPr>
            <w:r>
              <w:rPr>
                <w:rFonts w:hint="eastAsia" w:ascii="仿宋" w:hAnsi="仿宋" w:eastAsia="仿宋" w:cs="仿宋_GB2312"/>
                <w:color w:val="000000"/>
                <w:kern w:val="0"/>
                <w:sz w:val="22"/>
                <w:szCs w:val="22"/>
                <w:lang w:val="en-US" w:eastAsia="zh-CN"/>
              </w:rPr>
              <w:t>7543</w:t>
            </w:r>
          </w:p>
        </w:tc>
        <w:tc>
          <w:tcPr>
            <w:tcW w:w="3196"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hint="eastAsia" w:ascii="仿宋" w:hAnsi="仿宋" w:eastAsia="仿宋" w:cs="仿宋_GB2312"/>
                <w:color w:val="000000"/>
                <w:sz w:val="22"/>
                <w:szCs w:val="22"/>
                <w:lang w:val="en-US" w:eastAsia="zh-CN"/>
              </w:rPr>
            </w:pPr>
            <w:r>
              <w:rPr>
                <w:rFonts w:hint="eastAsia" w:ascii="仿宋" w:hAnsi="仿宋" w:eastAsia="仿宋" w:cs="仿宋_GB2312"/>
                <w:color w:val="000000"/>
                <w:kern w:val="0"/>
                <w:sz w:val="22"/>
                <w:szCs w:val="22"/>
                <w:lang w:val="en-US" w:eastAsia="zh-CN"/>
              </w:rPr>
              <w:t>9853</w:t>
            </w:r>
          </w:p>
        </w:tc>
      </w:tr>
    </w:tbl>
    <w:p>
      <w:pPr>
        <w:rPr>
          <w:rFonts w:ascii="仿宋_GB2312" w:hAnsi="仿宋_GB2312" w:eastAsia="仿宋_GB2312" w:cs="仿宋_GB2312"/>
          <w:color w:val="333333"/>
          <w:sz w:val="32"/>
          <w:szCs w:val="32"/>
          <w:shd w:val="clear" w:color="auto" w:fill="FFFFFF"/>
        </w:rPr>
      </w:pPr>
      <w:r>
        <w:drawing>
          <wp:inline distT="0" distB="0" distL="114300" distR="114300">
            <wp:extent cx="5690870" cy="2616835"/>
            <wp:effectExtent l="13970" t="0" r="29210" b="17145"/>
            <wp:docPr id="39"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1.4.2生均实训实习工位数</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校内实训基地仪器设备数由2017年的407套增加到462套，现有实习工位686个，人均0.32个，实训课开出率100%。</w:t>
      </w:r>
    </w:p>
    <w:p>
      <w:pPr>
        <w:rPr>
          <w:rFonts w:hint="eastAsia"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 xml:space="preserve">表9 </w:t>
      </w:r>
    </w:p>
    <w:tbl>
      <w:tblPr>
        <w:tblStyle w:val="10"/>
        <w:tblW w:w="8960" w:type="dxa"/>
        <w:tblInd w:w="0" w:type="dxa"/>
        <w:tblLayout w:type="fixed"/>
        <w:tblCellMar>
          <w:top w:w="15" w:type="dxa"/>
          <w:left w:w="15" w:type="dxa"/>
          <w:bottom w:w="15" w:type="dxa"/>
          <w:right w:w="15" w:type="dxa"/>
        </w:tblCellMar>
      </w:tblPr>
      <w:tblGrid>
        <w:gridCol w:w="2987"/>
        <w:gridCol w:w="2986"/>
        <w:gridCol w:w="2987"/>
      </w:tblGrid>
      <w:tr>
        <w:tblPrEx>
          <w:tblLayout w:type="fixed"/>
          <w:tblCellMar>
            <w:top w:w="15" w:type="dxa"/>
            <w:left w:w="15" w:type="dxa"/>
            <w:bottom w:w="15" w:type="dxa"/>
            <w:right w:w="15" w:type="dxa"/>
          </w:tblCellMar>
        </w:tblPrEx>
        <w:trPr>
          <w:trHeight w:val="289" w:hRule="exact"/>
        </w:trPr>
        <w:tc>
          <w:tcPr>
            <w:tcW w:w="2987"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center"/>
              <w:rPr>
                <w:rFonts w:ascii="仿宋" w:hAnsi="仿宋" w:eastAsia="仿宋" w:cs="仿宋_GB2312"/>
                <w:color w:val="000000"/>
                <w:sz w:val="22"/>
                <w:szCs w:val="22"/>
              </w:rPr>
            </w:pPr>
            <w:r>
              <w:rPr>
                <w:rFonts w:hint="eastAsia" w:ascii="仿宋" w:hAnsi="仿宋" w:eastAsia="仿宋" w:cs="仿宋_GB2312"/>
                <w:color w:val="000000"/>
                <w:kern w:val="0"/>
                <w:sz w:val="22"/>
                <w:szCs w:val="22"/>
              </w:rPr>
              <w:t>项目</w:t>
            </w:r>
          </w:p>
        </w:tc>
        <w:tc>
          <w:tcPr>
            <w:tcW w:w="298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center"/>
              <w:rPr>
                <w:rFonts w:ascii="仿宋" w:hAnsi="仿宋" w:eastAsia="仿宋" w:cs="仿宋_GB2312"/>
                <w:color w:val="000000"/>
                <w:sz w:val="22"/>
                <w:szCs w:val="22"/>
              </w:rPr>
            </w:pPr>
            <w:r>
              <w:rPr>
                <w:rFonts w:hint="eastAsia" w:ascii="仿宋" w:hAnsi="仿宋" w:eastAsia="仿宋" w:cs="仿宋_GB2312"/>
                <w:color w:val="000000"/>
                <w:kern w:val="0"/>
                <w:sz w:val="22"/>
                <w:szCs w:val="22"/>
              </w:rPr>
              <w:t>2017年度</w:t>
            </w:r>
          </w:p>
        </w:tc>
        <w:tc>
          <w:tcPr>
            <w:tcW w:w="2987"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center"/>
              <w:rPr>
                <w:rFonts w:ascii="仿宋" w:hAnsi="仿宋" w:eastAsia="仿宋" w:cs="仿宋_GB2312"/>
                <w:color w:val="000000"/>
                <w:sz w:val="22"/>
                <w:szCs w:val="22"/>
              </w:rPr>
            </w:pPr>
            <w:r>
              <w:rPr>
                <w:rFonts w:hint="eastAsia" w:ascii="仿宋" w:hAnsi="仿宋" w:eastAsia="仿宋" w:cs="仿宋_GB2312"/>
                <w:color w:val="000000"/>
                <w:kern w:val="0"/>
                <w:sz w:val="22"/>
                <w:szCs w:val="22"/>
              </w:rPr>
              <w:t>2018年度</w:t>
            </w:r>
          </w:p>
        </w:tc>
      </w:tr>
      <w:tr>
        <w:tblPrEx>
          <w:tblLayout w:type="fixed"/>
          <w:tblCellMar>
            <w:top w:w="15" w:type="dxa"/>
            <w:left w:w="15" w:type="dxa"/>
            <w:bottom w:w="15" w:type="dxa"/>
            <w:right w:w="15" w:type="dxa"/>
          </w:tblCellMar>
        </w:tblPrEx>
        <w:trPr>
          <w:trHeight w:val="300" w:hRule="exact"/>
        </w:trPr>
        <w:tc>
          <w:tcPr>
            <w:tcW w:w="29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仿宋" w:hAnsi="仿宋" w:eastAsia="仿宋" w:cs="仿宋_GB2312"/>
                <w:color w:val="000000"/>
                <w:sz w:val="22"/>
                <w:szCs w:val="22"/>
              </w:rPr>
            </w:pPr>
            <w:r>
              <w:rPr>
                <w:rFonts w:hint="eastAsia" w:ascii="仿宋" w:hAnsi="仿宋" w:eastAsia="仿宋" w:cs="仿宋_GB2312"/>
                <w:color w:val="000000"/>
                <w:kern w:val="0"/>
                <w:sz w:val="22"/>
                <w:szCs w:val="22"/>
              </w:rPr>
              <w:t>设备数</w:t>
            </w:r>
          </w:p>
        </w:tc>
        <w:tc>
          <w:tcPr>
            <w:tcW w:w="2986"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仿宋" w:hAnsi="仿宋" w:eastAsia="仿宋" w:cs="仿宋_GB2312"/>
                <w:color w:val="000000"/>
                <w:sz w:val="22"/>
                <w:szCs w:val="22"/>
              </w:rPr>
            </w:pPr>
            <w:r>
              <w:rPr>
                <w:rFonts w:hint="eastAsia" w:ascii="仿宋" w:hAnsi="仿宋" w:eastAsia="仿宋" w:cs="仿宋_GB2312"/>
                <w:color w:val="000000"/>
                <w:kern w:val="0"/>
                <w:sz w:val="22"/>
                <w:szCs w:val="22"/>
              </w:rPr>
              <w:t>407</w:t>
            </w:r>
          </w:p>
        </w:tc>
        <w:tc>
          <w:tcPr>
            <w:tcW w:w="29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仿宋" w:hAnsi="仿宋" w:eastAsia="仿宋" w:cs="仿宋_GB2312"/>
                <w:color w:val="000000"/>
                <w:sz w:val="22"/>
                <w:szCs w:val="22"/>
              </w:rPr>
            </w:pPr>
            <w:r>
              <w:rPr>
                <w:rFonts w:hint="eastAsia" w:ascii="仿宋" w:hAnsi="仿宋" w:eastAsia="仿宋" w:cs="仿宋_GB2312"/>
                <w:color w:val="000000"/>
                <w:kern w:val="0"/>
                <w:sz w:val="22"/>
                <w:szCs w:val="22"/>
              </w:rPr>
              <w:t>462</w:t>
            </w:r>
          </w:p>
        </w:tc>
      </w:tr>
    </w:tbl>
    <w:p>
      <w:pPr>
        <w:rPr>
          <w:rFonts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 xml:space="preserve">                           </w:t>
      </w:r>
      <w:r>
        <w:rPr>
          <w:rFonts w:hint="eastAsia" w:ascii="仿宋_GB2312" w:hAnsi="仿宋_GB2312" w:eastAsia="仿宋_GB2312" w:cs="仿宋_GB2312"/>
          <w:color w:val="333333"/>
          <w:sz w:val="28"/>
          <w:szCs w:val="28"/>
          <w:shd w:val="clear" w:color="auto" w:fill="FFFFFF"/>
        </w:rPr>
        <w:t xml:space="preserve">   </w:t>
      </w:r>
      <w:r>
        <w:rPr>
          <w:rFonts w:hint="eastAsia" w:ascii="仿宋_GB2312" w:hAnsi="仿宋_GB2312" w:eastAsia="仿宋_GB2312" w:cs="仿宋_GB2312"/>
          <w:color w:val="333333"/>
          <w:szCs w:val="21"/>
          <w:shd w:val="clear" w:color="auto" w:fill="FFFFFF"/>
        </w:rPr>
        <w:t xml:space="preserve"> 设备数（单位：个）</w:t>
      </w:r>
    </w:p>
    <w:p>
      <w:r>
        <w:drawing>
          <wp:inline distT="0" distB="0" distL="114300" distR="114300">
            <wp:extent cx="5588000" cy="2275840"/>
            <wp:effectExtent l="13970" t="13970" r="17780" b="15240"/>
            <wp:docPr id="4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
      <w:pPr>
        <w:rPr>
          <w:rFonts w:hint="eastAsia"/>
        </w:rPr>
      </w:pPr>
      <w:r>
        <w:rPr>
          <w:rFonts w:hint="eastAsia"/>
        </w:rPr>
        <w:t xml:space="preserve">表10 </w:t>
      </w:r>
    </w:p>
    <w:tbl>
      <w:tblPr>
        <w:tblStyle w:val="10"/>
        <w:tblW w:w="9040" w:type="dxa"/>
        <w:tblInd w:w="0" w:type="dxa"/>
        <w:tblLayout w:type="fixed"/>
        <w:tblCellMar>
          <w:top w:w="15" w:type="dxa"/>
          <w:left w:w="15" w:type="dxa"/>
          <w:bottom w:w="15" w:type="dxa"/>
          <w:right w:w="15" w:type="dxa"/>
        </w:tblCellMar>
      </w:tblPr>
      <w:tblGrid>
        <w:gridCol w:w="3013"/>
        <w:gridCol w:w="3014"/>
        <w:gridCol w:w="3013"/>
      </w:tblGrid>
      <w:tr>
        <w:tblPrEx>
          <w:tblLayout w:type="fixed"/>
          <w:tblCellMar>
            <w:top w:w="15" w:type="dxa"/>
            <w:left w:w="15" w:type="dxa"/>
            <w:bottom w:w="15" w:type="dxa"/>
            <w:right w:w="15" w:type="dxa"/>
          </w:tblCellMar>
        </w:tblPrEx>
        <w:trPr>
          <w:trHeight w:val="283" w:hRule="exact"/>
        </w:trPr>
        <w:tc>
          <w:tcPr>
            <w:tcW w:w="3013"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项目</w:t>
            </w:r>
          </w:p>
        </w:tc>
        <w:tc>
          <w:tcPr>
            <w:tcW w:w="3014"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2017年度</w:t>
            </w:r>
          </w:p>
        </w:tc>
        <w:tc>
          <w:tcPr>
            <w:tcW w:w="3013"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2018年度</w:t>
            </w:r>
          </w:p>
        </w:tc>
      </w:tr>
      <w:tr>
        <w:tblPrEx>
          <w:tblLayout w:type="fixed"/>
          <w:tblCellMar>
            <w:top w:w="15" w:type="dxa"/>
            <w:left w:w="15" w:type="dxa"/>
            <w:bottom w:w="15" w:type="dxa"/>
            <w:right w:w="15" w:type="dxa"/>
          </w:tblCellMar>
        </w:tblPrEx>
        <w:trPr>
          <w:trHeight w:val="283" w:hRule="exact"/>
        </w:trPr>
        <w:tc>
          <w:tcPr>
            <w:tcW w:w="3013"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实习工位</w:t>
            </w:r>
          </w:p>
        </w:tc>
        <w:tc>
          <w:tcPr>
            <w:tcW w:w="3014"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686</w:t>
            </w:r>
          </w:p>
        </w:tc>
        <w:tc>
          <w:tcPr>
            <w:tcW w:w="3013"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center"/>
              <w:rPr>
                <w:rFonts w:hint="eastAsia" w:ascii="宋体" w:hAnsi="宋体" w:eastAsia="宋体" w:cs="宋体"/>
                <w:color w:val="000000"/>
                <w:sz w:val="22"/>
                <w:szCs w:val="22"/>
                <w:lang w:val="en-US" w:eastAsia="zh-CN"/>
              </w:rPr>
            </w:pPr>
            <w:r>
              <w:rPr>
                <w:rFonts w:hint="eastAsia" w:ascii="宋体" w:hAnsi="宋体" w:eastAsia="宋体" w:cs="宋体"/>
                <w:color w:val="000000"/>
                <w:kern w:val="0"/>
                <w:sz w:val="22"/>
                <w:szCs w:val="22"/>
                <w:lang w:val="en-US" w:eastAsia="zh-CN"/>
              </w:rPr>
              <w:t>702</w:t>
            </w:r>
          </w:p>
        </w:tc>
      </w:tr>
    </w:tbl>
    <w:p>
      <w:pPr>
        <w:jc w:val="center"/>
      </w:pPr>
      <w:r>
        <w:rPr>
          <w:rFonts w:hint="eastAsia"/>
        </w:rPr>
        <w:t>实习工位数（个）</w:t>
      </w:r>
    </w:p>
    <w:p>
      <w:r>
        <w:drawing>
          <wp:inline distT="0" distB="0" distL="114300" distR="114300">
            <wp:extent cx="5722620" cy="2710815"/>
            <wp:effectExtent l="13970" t="13970" r="16510" b="18415"/>
            <wp:docPr id="1435"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1.4.3生均纸质图书数</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sz w:val="32"/>
          <w:szCs w:val="32"/>
        </w:rPr>
        <w:t>现有纸质图书和电子图书共25.3988万册,生均118册，</w:t>
      </w:r>
      <w:r>
        <w:rPr>
          <w:rFonts w:hint="eastAsia" w:ascii="仿宋_GB2312" w:hAnsi="仿宋_GB2312" w:eastAsia="仿宋_GB2312" w:cs="仿宋_GB2312"/>
          <w:color w:val="333333"/>
          <w:sz w:val="32"/>
          <w:szCs w:val="32"/>
          <w:shd w:val="clear" w:color="auto" w:fill="FFFFFF"/>
        </w:rPr>
        <w:t>各类图书种类100多种。其中专业图书3.1万册。有两个阅览室，可容纳200人同时阅读。图书馆实行网络化管理，高效规范，借阅率高。</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drawing>
          <wp:inline distT="0" distB="0" distL="114300" distR="114300">
            <wp:extent cx="5851525" cy="3419475"/>
            <wp:effectExtent l="19050" t="0" r="0" b="0"/>
            <wp:docPr id="6" name="图片 6" descr="图书室 (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书室 (1)_副本"/>
                    <pic:cNvPicPr>
                      <a:picLocks noChangeAspect="1"/>
                    </pic:cNvPicPr>
                  </pic:nvPicPr>
                  <pic:blipFill>
                    <a:blip r:embed="rId24" cstate="print"/>
                    <a:stretch>
                      <a:fillRect/>
                    </a:stretch>
                  </pic:blipFill>
                  <pic:spPr>
                    <a:xfrm>
                      <a:off x="0" y="0"/>
                      <a:ext cx="5851525" cy="3419475"/>
                    </a:xfrm>
                    <a:prstGeom prst="rect">
                      <a:avLst/>
                    </a:prstGeom>
                  </pic:spPr>
                </pic:pic>
              </a:graphicData>
            </a:graphic>
          </wp:inline>
        </w:drawing>
      </w:r>
    </w:p>
    <w:p>
      <w:pPr>
        <w:jc w:val="center"/>
        <w:rPr>
          <w:rFonts w:ascii="华文新魏" w:hAnsi="华文新魏" w:eastAsia="华文新魏" w:cs="华文新魏"/>
          <w:color w:val="333333"/>
          <w:sz w:val="32"/>
          <w:szCs w:val="32"/>
          <w:shd w:val="clear" w:color="auto" w:fill="FFFFFF"/>
        </w:rPr>
      </w:pPr>
      <w:r>
        <w:rPr>
          <w:rFonts w:hint="eastAsia" w:ascii="华文新魏" w:hAnsi="华文新魏" w:eastAsia="华文新魏" w:cs="华文新魏"/>
          <w:color w:val="333333"/>
          <w:sz w:val="32"/>
          <w:szCs w:val="32"/>
          <w:shd w:val="clear" w:color="auto" w:fill="FFFFFF"/>
        </w:rPr>
        <w:t>图书馆</w:t>
      </w:r>
    </w:p>
    <w:p>
      <w:pPr>
        <w:rPr>
          <w:rFonts w:ascii="黑体" w:hAnsi="黑体" w:eastAsia="黑体" w:cs="黑体"/>
          <w:color w:val="333333"/>
          <w:sz w:val="32"/>
          <w:szCs w:val="32"/>
          <w:shd w:val="clear" w:color="auto" w:fill="FFFFFF"/>
        </w:rPr>
      </w:pPr>
      <w:r>
        <w:rPr>
          <w:rFonts w:hint="eastAsia" w:ascii="黑体" w:hAnsi="黑体" w:eastAsia="黑体" w:cs="黑体"/>
          <w:color w:val="333333"/>
          <w:sz w:val="32"/>
          <w:szCs w:val="32"/>
          <w:shd w:val="clear" w:color="auto" w:fill="FFFFFF"/>
        </w:rPr>
        <w:t>2.学生发展</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2.1学生素质</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以“学生满意、家长满意、社会满意”为目标，秉承“厚德、敏行、精工、立业”的校训，以立德树人，促进就业为宗旨，积极探索学生培养方式，努力提高学生综合素质，学生整体素质不断增强，文化课合格率99%、专业技能合格率100%、体质实际达标率为93.2%、毕业率89.87%。</w:t>
      </w:r>
    </w:p>
    <w:p>
      <w:pPr>
        <w:rPr>
          <w:rFonts w:hint="eastAsia"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表11</w:t>
      </w:r>
    </w:p>
    <w:tbl>
      <w:tblPr>
        <w:tblStyle w:val="10"/>
        <w:tblW w:w="8918" w:type="dxa"/>
        <w:tblInd w:w="0" w:type="dxa"/>
        <w:tblLayout w:type="fixed"/>
        <w:tblCellMar>
          <w:top w:w="15" w:type="dxa"/>
          <w:left w:w="15" w:type="dxa"/>
          <w:bottom w:w="15" w:type="dxa"/>
          <w:right w:w="15" w:type="dxa"/>
        </w:tblCellMar>
      </w:tblPr>
      <w:tblGrid>
        <w:gridCol w:w="1949"/>
        <w:gridCol w:w="3572"/>
        <w:gridCol w:w="3397"/>
      </w:tblGrid>
      <w:tr>
        <w:tblPrEx>
          <w:tblLayout w:type="fixed"/>
          <w:tblCellMar>
            <w:top w:w="15" w:type="dxa"/>
            <w:left w:w="15" w:type="dxa"/>
            <w:bottom w:w="15" w:type="dxa"/>
            <w:right w:w="15" w:type="dxa"/>
          </w:tblCellMar>
        </w:tblPrEx>
        <w:trPr>
          <w:trHeight w:val="306" w:hRule="exact"/>
        </w:trPr>
        <w:tc>
          <w:tcPr>
            <w:tcW w:w="1949"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项目</w:t>
            </w:r>
          </w:p>
        </w:tc>
        <w:tc>
          <w:tcPr>
            <w:tcW w:w="3572"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2017年度合格率</w:t>
            </w:r>
          </w:p>
        </w:tc>
        <w:tc>
          <w:tcPr>
            <w:tcW w:w="3397"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2018年度合格率</w:t>
            </w:r>
          </w:p>
        </w:tc>
      </w:tr>
      <w:tr>
        <w:tblPrEx>
          <w:tblLayout w:type="fixed"/>
          <w:tblCellMar>
            <w:top w:w="15" w:type="dxa"/>
            <w:left w:w="15" w:type="dxa"/>
            <w:bottom w:w="15" w:type="dxa"/>
            <w:right w:w="15" w:type="dxa"/>
          </w:tblCellMar>
        </w:tblPrEx>
        <w:trPr>
          <w:trHeight w:val="306" w:hRule="exact"/>
        </w:trPr>
        <w:tc>
          <w:tcPr>
            <w:tcW w:w="194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文化课</w:t>
            </w:r>
          </w:p>
        </w:tc>
        <w:tc>
          <w:tcPr>
            <w:tcW w:w="3572"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99%</w:t>
            </w:r>
          </w:p>
        </w:tc>
        <w:tc>
          <w:tcPr>
            <w:tcW w:w="3397"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99%</w:t>
            </w:r>
          </w:p>
        </w:tc>
      </w:tr>
      <w:tr>
        <w:tblPrEx>
          <w:tblLayout w:type="fixed"/>
          <w:tblCellMar>
            <w:top w:w="15" w:type="dxa"/>
            <w:left w:w="15" w:type="dxa"/>
            <w:bottom w:w="15" w:type="dxa"/>
            <w:right w:w="15" w:type="dxa"/>
          </w:tblCellMar>
        </w:tblPrEx>
        <w:trPr>
          <w:trHeight w:val="306" w:hRule="exact"/>
        </w:trPr>
        <w:tc>
          <w:tcPr>
            <w:tcW w:w="194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专业</w:t>
            </w:r>
          </w:p>
        </w:tc>
        <w:tc>
          <w:tcPr>
            <w:tcW w:w="3572"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100%</w:t>
            </w:r>
          </w:p>
        </w:tc>
        <w:tc>
          <w:tcPr>
            <w:tcW w:w="3397"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100%</w:t>
            </w:r>
          </w:p>
        </w:tc>
      </w:tr>
      <w:tr>
        <w:tblPrEx>
          <w:tblLayout w:type="fixed"/>
          <w:tblCellMar>
            <w:top w:w="15" w:type="dxa"/>
            <w:left w:w="15" w:type="dxa"/>
            <w:bottom w:w="15" w:type="dxa"/>
            <w:right w:w="15" w:type="dxa"/>
          </w:tblCellMar>
        </w:tblPrEx>
        <w:trPr>
          <w:trHeight w:val="306" w:hRule="exact"/>
        </w:trPr>
        <w:tc>
          <w:tcPr>
            <w:tcW w:w="194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体质测评</w:t>
            </w:r>
          </w:p>
        </w:tc>
        <w:tc>
          <w:tcPr>
            <w:tcW w:w="3572"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93%</w:t>
            </w:r>
          </w:p>
        </w:tc>
        <w:tc>
          <w:tcPr>
            <w:tcW w:w="3397"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93.2%</w:t>
            </w:r>
          </w:p>
        </w:tc>
      </w:tr>
      <w:tr>
        <w:tblPrEx>
          <w:tblLayout w:type="fixed"/>
          <w:tblCellMar>
            <w:top w:w="15" w:type="dxa"/>
            <w:left w:w="15" w:type="dxa"/>
            <w:bottom w:w="15" w:type="dxa"/>
            <w:right w:w="15" w:type="dxa"/>
          </w:tblCellMar>
        </w:tblPrEx>
        <w:trPr>
          <w:trHeight w:val="317" w:hRule="exact"/>
        </w:trPr>
        <w:tc>
          <w:tcPr>
            <w:tcW w:w="194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毕业率</w:t>
            </w:r>
          </w:p>
        </w:tc>
        <w:tc>
          <w:tcPr>
            <w:tcW w:w="3572"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87%</w:t>
            </w:r>
          </w:p>
        </w:tc>
        <w:tc>
          <w:tcPr>
            <w:tcW w:w="3397"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89.87%</w:t>
            </w:r>
          </w:p>
        </w:tc>
      </w:tr>
    </w:tbl>
    <w:p>
      <w:pPr>
        <w:rPr>
          <w:rFonts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 xml:space="preserve">                        学生各项素质合格率统计表</w:t>
      </w:r>
    </w:p>
    <w:p>
      <w:pPr>
        <w:rPr>
          <w:rFonts w:ascii="仿宋_GB2312" w:hAnsi="仿宋_GB2312" w:eastAsia="仿宋_GB2312" w:cs="仿宋_GB2312"/>
          <w:color w:val="333333"/>
          <w:sz w:val="32"/>
          <w:szCs w:val="32"/>
          <w:shd w:val="clear" w:color="auto" w:fill="FFFFFF"/>
        </w:rPr>
      </w:pPr>
      <w:r>
        <w:drawing>
          <wp:inline distT="0" distB="0" distL="114300" distR="114300">
            <wp:extent cx="5580380" cy="2291080"/>
            <wp:effectExtent l="13970" t="0" r="25400" b="19050"/>
            <wp:docPr id="41"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2.2在校体验</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为营造良好的学生学习生活氛围，在学生管理过程中，努力打造和谐、团结的校园环境，通过每年问卷调查，满意度不断提升。2018年，学生理论学习满意度97.1%、专业学习满意度96.8%、实习实训满意度98.2%、毕业生对学校满意度98%。</w:t>
      </w:r>
    </w:p>
    <w:p>
      <w:pPr>
        <w:rPr>
          <w:rFonts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表12                          学生在校体验满意度统计表</w:t>
      </w:r>
    </w:p>
    <w:tbl>
      <w:tblPr>
        <w:tblStyle w:val="10"/>
        <w:tblW w:w="8820" w:type="dxa"/>
        <w:tblInd w:w="0" w:type="dxa"/>
        <w:tblLayout w:type="fixed"/>
        <w:tblCellMar>
          <w:top w:w="15" w:type="dxa"/>
          <w:left w:w="15" w:type="dxa"/>
          <w:bottom w:w="15" w:type="dxa"/>
          <w:right w:w="15" w:type="dxa"/>
        </w:tblCellMar>
      </w:tblPr>
      <w:tblGrid>
        <w:gridCol w:w="3376"/>
        <w:gridCol w:w="1815"/>
        <w:gridCol w:w="1814"/>
        <w:gridCol w:w="1815"/>
      </w:tblGrid>
      <w:tr>
        <w:tblPrEx>
          <w:tblLayout w:type="fixed"/>
          <w:tblCellMar>
            <w:top w:w="15" w:type="dxa"/>
            <w:left w:w="15" w:type="dxa"/>
            <w:bottom w:w="15" w:type="dxa"/>
            <w:right w:w="15" w:type="dxa"/>
          </w:tblCellMar>
        </w:tblPrEx>
        <w:trPr>
          <w:trHeight w:val="331" w:hRule="exact"/>
        </w:trPr>
        <w:tc>
          <w:tcPr>
            <w:tcW w:w="337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在校体验</w:t>
            </w:r>
          </w:p>
        </w:tc>
        <w:tc>
          <w:tcPr>
            <w:tcW w:w="1815"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一年级</w:t>
            </w:r>
          </w:p>
        </w:tc>
        <w:tc>
          <w:tcPr>
            <w:tcW w:w="1814"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二年级</w:t>
            </w:r>
          </w:p>
        </w:tc>
        <w:tc>
          <w:tcPr>
            <w:tcW w:w="1815"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三年级</w:t>
            </w:r>
          </w:p>
        </w:tc>
      </w:tr>
      <w:tr>
        <w:tblPrEx>
          <w:tblLayout w:type="fixed"/>
          <w:tblCellMar>
            <w:top w:w="15" w:type="dxa"/>
            <w:left w:w="15" w:type="dxa"/>
            <w:bottom w:w="15" w:type="dxa"/>
            <w:right w:w="15" w:type="dxa"/>
          </w:tblCellMar>
        </w:tblPrEx>
        <w:trPr>
          <w:trHeight w:val="330" w:hRule="exact"/>
        </w:trPr>
        <w:tc>
          <w:tcPr>
            <w:tcW w:w="3376"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理论学习满意度</w:t>
            </w:r>
          </w:p>
        </w:tc>
        <w:tc>
          <w:tcPr>
            <w:tcW w:w="1815"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95%</w:t>
            </w:r>
          </w:p>
        </w:tc>
        <w:tc>
          <w:tcPr>
            <w:tcW w:w="1814"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96%</w:t>
            </w:r>
          </w:p>
        </w:tc>
        <w:tc>
          <w:tcPr>
            <w:tcW w:w="1815"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97%</w:t>
            </w:r>
          </w:p>
        </w:tc>
      </w:tr>
      <w:tr>
        <w:tblPrEx>
          <w:tblLayout w:type="fixed"/>
          <w:tblCellMar>
            <w:top w:w="15" w:type="dxa"/>
            <w:left w:w="15" w:type="dxa"/>
            <w:bottom w:w="15" w:type="dxa"/>
            <w:right w:w="15" w:type="dxa"/>
          </w:tblCellMar>
        </w:tblPrEx>
        <w:trPr>
          <w:trHeight w:val="330" w:hRule="exact"/>
        </w:trPr>
        <w:tc>
          <w:tcPr>
            <w:tcW w:w="3376"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专业学习满意度</w:t>
            </w:r>
          </w:p>
        </w:tc>
        <w:tc>
          <w:tcPr>
            <w:tcW w:w="1815"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95%</w:t>
            </w:r>
          </w:p>
        </w:tc>
        <w:tc>
          <w:tcPr>
            <w:tcW w:w="1814"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96%</w:t>
            </w:r>
          </w:p>
        </w:tc>
        <w:tc>
          <w:tcPr>
            <w:tcW w:w="1815"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97%</w:t>
            </w:r>
          </w:p>
        </w:tc>
      </w:tr>
      <w:tr>
        <w:tblPrEx>
          <w:tblLayout w:type="fixed"/>
          <w:tblCellMar>
            <w:top w:w="15" w:type="dxa"/>
            <w:left w:w="15" w:type="dxa"/>
            <w:bottom w:w="15" w:type="dxa"/>
            <w:right w:w="15" w:type="dxa"/>
          </w:tblCellMar>
        </w:tblPrEx>
        <w:trPr>
          <w:trHeight w:val="341" w:hRule="exact"/>
        </w:trPr>
        <w:tc>
          <w:tcPr>
            <w:tcW w:w="3376"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实习实训满意度</w:t>
            </w:r>
          </w:p>
        </w:tc>
        <w:tc>
          <w:tcPr>
            <w:tcW w:w="1815"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96%</w:t>
            </w:r>
          </w:p>
        </w:tc>
        <w:tc>
          <w:tcPr>
            <w:tcW w:w="1814"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97%</w:t>
            </w:r>
          </w:p>
        </w:tc>
        <w:tc>
          <w:tcPr>
            <w:tcW w:w="1815"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sz w:val="22"/>
                <w:szCs w:val="22"/>
              </w:rPr>
            </w:pPr>
            <w:r>
              <w:rPr>
                <w:rFonts w:hint="eastAsia" w:ascii="仿宋" w:hAnsi="仿宋" w:eastAsia="仿宋" w:cs="仿宋_GB2312"/>
                <w:color w:val="000000"/>
                <w:kern w:val="0"/>
                <w:sz w:val="22"/>
                <w:szCs w:val="22"/>
              </w:rPr>
              <w:t>99%</w:t>
            </w:r>
          </w:p>
        </w:tc>
      </w:tr>
      <w:tr>
        <w:tblPrEx>
          <w:tblLayout w:type="fixed"/>
          <w:tblCellMar>
            <w:top w:w="15" w:type="dxa"/>
            <w:left w:w="15" w:type="dxa"/>
            <w:bottom w:w="15" w:type="dxa"/>
            <w:right w:w="15" w:type="dxa"/>
          </w:tblCellMar>
        </w:tblPrEx>
        <w:trPr>
          <w:trHeight w:val="341" w:hRule="exact"/>
        </w:trPr>
        <w:tc>
          <w:tcPr>
            <w:tcW w:w="3376"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kern w:val="0"/>
                <w:sz w:val="22"/>
                <w:szCs w:val="22"/>
              </w:rPr>
            </w:pPr>
            <w:r>
              <w:rPr>
                <w:rFonts w:hint="eastAsia" w:ascii="仿宋" w:hAnsi="仿宋" w:eastAsia="仿宋" w:cs="仿宋_GB2312"/>
              </w:rPr>
              <w:t>校园文化与社团活动满意度</w:t>
            </w:r>
          </w:p>
        </w:tc>
        <w:tc>
          <w:tcPr>
            <w:tcW w:w="181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kern w:val="0"/>
                <w:sz w:val="22"/>
                <w:szCs w:val="22"/>
              </w:rPr>
            </w:pPr>
            <w:r>
              <w:rPr>
                <w:rFonts w:hint="eastAsia" w:ascii="仿宋" w:hAnsi="仿宋" w:eastAsia="仿宋" w:cs="仿宋_GB2312"/>
              </w:rPr>
              <w:t>96%</w:t>
            </w:r>
          </w:p>
        </w:tc>
        <w:tc>
          <w:tcPr>
            <w:tcW w:w="1814"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kern w:val="0"/>
                <w:sz w:val="22"/>
                <w:szCs w:val="22"/>
              </w:rPr>
            </w:pPr>
            <w:r>
              <w:rPr>
                <w:rFonts w:hint="eastAsia" w:ascii="仿宋" w:hAnsi="仿宋" w:eastAsia="仿宋" w:cs="仿宋_GB2312"/>
              </w:rPr>
              <w:t>98%</w:t>
            </w:r>
          </w:p>
        </w:tc>
        <w:tc>
          <w:tcPr>
            <w:tcW w:w="181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kern w:val="0"/>
                <w:sz w:val="22"/>
                <w:szCs w:val="22"/>
              </w:rPr>
            </w:pPr>
            <w:r>
              <w:rPr>
                <w:rFonts w:hint="eastAsia" w:ascii="仿宋" w:hAnsi="仿宋" w:eastAsia="仿宋" w:cs="仿宋_GB2312"/>
              </w:rPr>
              <w:t>98%</w:t>
            </w:r>
          </w:p>
        </w:tc>
      </w:tr>
      <w:tr>
        <w:tblPrEx>
          <w:tblLayout w:type="fixed"/>
          <w:tblCellMar>
            <w:top w:w="15" w:type="dxa"/>
            <w:left w:w="15" w:type="dxa"/>
            <w:bottom w:w="15" w:type="dxa"/>
            <w:right w:w="15" w:type="dxa"/>
          </w:tblCellMar>
        </w:tblPrEx>
        <w:trPr>
          <w:trHeight w:val="341" w:hRule="exact"/>
        </w:trPr>
        <w:tc>
          <w:tcPr>
            <w:tcW w:w="3376"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kern w:val="0"/>
                <w:sz w:val="22"/>
                <w:szCs w:val="22"/>
              </w:rPr>
            </w:pPr>
            <w:r>
              <w:rPr>
                <w:rFonts w:hint="eastAsia" w:ascii="仿宋" w:hAnsi="仿宋" w:eastAsia="仿宋" w:cs="仿宋_GB2312"/>
              </w:rPr>
              <w:t>生活满意度</w:t>
            </w:r>
          </w:p>
        </w:tc>
        <w:tc>
          <w:tcPr>
            <w:tcW w:w="181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kern w:val="0"/>
                <w:sz w:val="22"/>
                <w:szCs w:val="22"/>
              </w:rPr>
            </w:pPr>
            <w:r>
              <w:rPr>
                <w:rFonts w:hint="eastAsia" w:ascii="仿宋" w:hAnsi="仿宋" w:eastAsia="仿宋" w:cs="仿宋_GB2312"/>
              </w:rPr>
              <w:t>94%</w:t>
            </w:r>
          </w:p>
        </w:tc>
        <w:tc>
          <w:tcPr>
            <w:tcW w:w="1814"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kern w:val="0"/>
                <w:sz w:val="22"/>
                <w:szCs w:val="22"/>
              </w:rPr>
            </w:pPr>
            <w:r>
              <w:rPr>
                <w:rFonts w:hint="eastAsia" w:ascii="仿宋" w:hAnsi="仿宋" w:eastAsia="仿宋" w:cs="仿宋_GB2312"/>
              </w:rPr>
              <w:t>96%</w:t>
            </w:r>
          </w:p>
        </w:tc>
        <w:tc>
          <w:tcPr>
            <w:tcW w:w="181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kern w:val="0"/>
                <w:sz w:val="22"/>
                <w:szCs w:val="22"/>
              </w:rPr>
            </w:pPr>
            <w:r>
              <w:rPr>
                <w:rFonts w:hint="eastAsia" w:ascii="仿宋" w:hAnsi="仿宋" w:eastAsia="仿宋" w:cs="仿宋_GB2312"/>
              </w:rPr>
              <w:t>97%</w:t>
            </w:r>
          </w:p>
        </w:tc>
      </w:tr>
      <w:tr>
        <w:tblPrEx>
          <w:tblLayout w:type="fixed"/>
          <w:tblCellMar>
            <w:top w:w="15" w:type="dxa"/>
            <w:left w:w="15" w:type="dxa"/>
            <w:bottom w:w="15" w:type="dxa"/>
            <w:right w:w="15" w:type="dxa"/>
          </w:tblCellMar>
        </w:tblPrEx>
        <w:trPr>
          <w:trHeight w:val="341" w:hRule="exact"/>
        </w:trPr>
        <w:tc>
          <w:tcPr>
            <w:tcW w:w="3376"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kern w:val="0"/>
                <w:sz w:val="22"/>
                <w:szCs w:val="22"/>
              </w:rPr>
            </w:pPr>
            <w:r>
              <w:rPr>
                <w:rFonts w:hint="eastAsia" w:ascii="仿宋" w:hAnsi="仿宋" w:eastAsia="仿宋" w:cs="仿宋_GB2312"/>
              </w:rPr>
              <w:t>校园安全满意度</w:t>
            </w:r>
          </w:p>
        </w:tc>
        <w:tc>
          <w:tcPr>
            <w:tcW w:w="181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kern w:val="0"/>
                <w:sz w:val="22"/>
                <w:szCs w:val="22"/>
              </w:rPr>
            </w:pPr>
            <w:r>
              <w:rPr>
                <w:rFonts w:hint="eastAsia" w:ascii="仿宋" w:hAnsi="仿宋" w:eastAsia="仿宋" w:cs="仿宋_GB2312"/>
              </w:rPr>
              <w:t>96%</w:t>
            </w:r>
          </w:p>
        </w:tc>
        <w:tc>
          <w:tcPr>
            <w:tcW w:w="1814"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kern w:val="0"/>
                <w:sz w:val="22"/>
                <w:szCs w:val="22"/>
              </w:rPr>
            </w:pPr>
            <w:r>
              <w:rPr>
                <w:rFonts w:hint="eastAsia" w:ascii="仿宋" w:hAnsi="仿宋" w:eastAsia="仿宋" w:cs="仿宋_GB2312"/>
              </w:rPr>
              <w:t>97%</w:t>
            </w:r>
          </w:p>
        </w:tc>
        <w:tc>
          <w:tcPr>
            <w:tcW w:w="181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kern w:val="0"/>
                <w:sz w:val="22"/>
                <w:szCs w:val="22"/>
              </w:rPr>
            </w:pPr>
            <w:r>
              <w:rPr>
                <w:rFonts w:hint="eastAsia" w:ascii="仿宋" w:hAnsi="仿宋" w:eastAsia="仿宋" w:cs="仿宋_GB2312"/>
              </w:rPr>
              <w:t>99%</w:t>
            </w:r>
          </w:p>
        </w:tc>
      </w:tr>
      <w:tr>
        <w:tblPrEx>
          <w:tblLayout w:type="fixed"/>
          <w:tblCellMar>
            <w:top w:w="15" w:type="dxa"/>
            <w:left w:w="15" w:type="dxa"/>
            <w:bottom w:w="15" w:type="dxa"/>
            <w:right w:w="15" w:type="dxa"/>
          </w:tblCellMar>
        </w:tblPrEx>
        <w:trPr>
          <w:trHeight w:val="351" w:hRule="exact"/>
        </w:trPr>
        <w:tc>
          <w:tcPr>
            <w:tcW w:w="3376"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kern w:val="0"/>
                <w:sz w:val="22"/>
                <w:szCs w:val="22"/>
              </w:rPr>
            </w:pPr>
            <w:r>
              <w:rPr>
                <w:rFonts w:hint="eastAsia" w:ascii="仿宋" w:hAnsi="仿宋" w:eastAsia="仿宋" w:cs="仿宋_GB2312"/>
              </w:rPr>
              <w:t>毕业生对学校满意度</w:t>
            </w:r>
          </w:p>
        </w:tc>
        <w:tc>
          <w:tcPr>
            <w:tcW w:w="181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kern w:val="0"/>
                <w:sz w:val="22"/>
                <w:szCs w:val="22"/>
              </w:rPr>
            </w:pPr>
            <w:r>
              <w:rPr>
                <w:rFonts w:hint="eastAsia" w:ascii="仿宋" w:hAnsi="仿宋" w:eastAsia="仿宋" w:cs="仿宋_GB2312"/>
              </w:rPr>
              <w:t>96%</w:t>
            </w:r>
          </w:p>
        </w:tc>
        <w:tc>
          <w:tcPr>
            <w:tcW w:w="1814"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kern w:val="0"/>
                <w:sz w:val="22"/>
                <w:szCs w:val="22"/>
              </w:rPr>
            </w:pPr>
            <w:r>
              <w:rPr>
                <w:rFonts w:hint="eastAsia" w:ascii="仿宋" w:hAnsi="仿宋" w:eastAsia="仿宋" w:cs="仿宋_GB2312"/>
              </w:rPr>
              <w:t>96%</w:t>
            </w:r>
          </w:p>
        </w:tc>
        <w:tc>
          <w:tcPr>
            <w:tcW w:w="181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kern w:val="0"/>
                <w:sz w:val="22"/>
                <w:szCs w:val="22"/>
              </w:rPr>
            </w:pPr>
            <w:r>
              <w:rPr>
                <w:rFonts w:hint="eastAsia" w:ascii="仿宋" w:hAnsi="仿宋" w:eastAsia="仿宋" w:cs="仿宋_GB2312"/>
              </w:rPr>
              <w:t>99%</w:t>
            </w:r>
          </w:p>
        </w:tc>
      </w:tr>
    </w:tbl>
    <w:p>
      <w:pPr>
        <w:rPr>
          <w:rFonts w:ascii="仿宋_GB2312" w:hAnsi="仿宋_GB2312" w:eastAsia="仿宋_GB2312" w:cs="仿宋_GB2312"/>
          <w:color w:val="333333"/>
          <w:sz w:val="32"/>
          <w:szCs w:val="32"/>
          <w:shd w:val="clear" w:color="auto" w:fill="FFFFFF"/>
        </w:rPr>
      </w:pPr>
      <w:r>
        <w:drawing>
          <wp:inline distT="0" distB="0" distL="114300" distR="114300">
            <wp:extent cx="5638165" cy="2109470"/>
            <wp:effectExtent l="5080" t="4445" r="14605" b="19685"/>
            <wp:docPr id="2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2.3资助情况</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2.3.1免学费和助学金落实情况</w:t>
      </w:r>
    </w:p>
    <w:p>
      <w:pPr>
        <w:ind w:firstLine="640" w:firstLineChars="200"/>
        <w:rPr>
          <w:rFonts w:hint="eastAsia" w:ascii="仿宋" w:hAnsi="仿宋" w:eastAsia="仿宋" w:cs="仿宋"/>
          <w:color w:val="333333"/>
          <w:sz w:val="32"/>
          <w:szCs w:val="32"/>
          <w:shd w:val="clear" w:color="auto" w:fill="FFFFFF"/>
        </w:rPr>
      </w:pPr>
      <w:r>
        <w:rPr>
          <w:rFonts w:hint="eastAsia" w:ascii="仿宋" w:hAnsi="仿宋" w:eastAsia="仿宋" w:cs="仿宋"/>
          <w:color w:val="333333"/>
          <w:sz w:val="32"/>
          <w:szCs w:val="32"/>
          <w:shd w:val="clear" w:color="auto" w:fill="FFFFFF"/>
        </w:rPr>
        <w:t>建档立卡学生享受“三免一助”情况：全年累计资助建档立卡学生424人次（其中春季学期建档立卡学生187人，秋季学期237人）。免除学生学费33.92万元</w:t>
      </w:r>
      <w:r>
        <w:rPr>
          <w:rFonts w:hint="eastAsia" w:ascii="仿宋" w:hAnsi="仿宋" w:eastAsia="仿宋" w:cs="仿宋"/>
          <w:color w:val="333333"/>
          <w:sz w:val="32"/>
          <w:szCs w:val="32"/>
          <w:shd w:val="clear" w:color="auto" w:fill="FFFFFF"/>
          <w:lang w:eastAsia="zh-CN"/>
        </w:rPr>
        <w:t>（每学期</w:t>
      </w:r>
      <w:r>
        <w:rPr>
          <w:rFonts w:hint="eastAsia" w:ascii="仿宋" w:hAnsi="仿宋" w:eastAsia="仿宋" w:cs="仿宋"/>
          <w:color w:val="333333"/>
          <w:sz w:val="32"/>
          <w:szCs w:val="32"/>
          <w:shd w:val="clear" w:color="auto" w:fill="FFFFFF"/>
          <w:lang w:val="en-US" w:eastAsia="zh-CN"/>
        </w:rPr>
        <w:t>800元/人）</w:t>
      </w:r>
      <w:r>
        <w:rPr>
          <w:rFonts w:hint="eastAsia" w:ascii="仿宋" w:hAnsi="仿宋" w:eastAsia="仿宋" w:cs="仿宋"/>
          <w:color w:val="333333"/>
          <w:sz w:val="32"/>
          <w:szCs w:val="32"/>
          <w:shd w:val="clear" w:color="auto" w:fill="FFFFFF"/>
        </w:rPr>
        <w:t>、住宿费12.27万元</w:t>
      </w:r>
      <w:r>
        <w:rPr>
          <w:rFonts w:hint="eastAsia" w:ascii="仿宋" w:hAnsi="仿宋" w:eastAsia="仿宋" w:cs="仿宋"/>
          <w:color w:val="333333"/>
          <w:sz w:val="32"/>
          <w:szCs w:val="32"/>
          <w:shd w:val="clear" w:color="auto" w:fill="FFFFFF"/>
          <w:lang w:val="en-US" w:eastAsia="zh-CN"/>
        </w:rPr>
        <w:t>(每学期300元/人，因有15人去外地实习不用交，也就涉及不到免除，财政给学校按每人每年500元拨付补助）</w:t>
      </w:r>
      <w:r>
        <w:rPr>
          <w:rFonts w:hint="eastAsia" w:ascii="仿宋" w:hAnsi="仿宋" w:eastAsia="仿宋" w:cs="仿宋"/>
          <w:color w:val="333333"/>
          <w:sz w:val="32"/>
          <w:szCs w:val="32"/>
          <w:shd w:val="clear" w:color="auto" w:fill="FFFFFF"/>
        </w:rPr>
        <w:t>、书费11.97万元</w:t>
      </w:r>
      <w:r>
        <w:rPr>
          <w:rFonts w:hint="eastAsia" w:ascii="仿宋" w:hAnsi="仿宋" w:eastAsia="仿宋" w:cs="仿宋"/>
          <w:color w:val="333333"/>
          <w:sz w:val="32"/>
          <w:szCs w:val="32"/>
          <w:shd w:val="clear" w:color="auto" w:fill="FFFFFF"/>
          <w:lang w:eastAsia="zh-CN"/>
        </w:rPr>
        <w:t>（按当期各班学生实际发生的金额计算，学校预收每学期</w:t>
      </w:r>
      <w:r>
        <w:rPr>
          <w:rFonts w:hint="eastAsia" w:ascii="仿宋" w:hAnsi="仿宋" w:eastAsia="仿宋" w:cs="仿宋"/>
          <w:color w:val="333333"/>
          <w:sz w:val="32"/>
          <w:szCs w:val="32"/>
          <w:shd w:val="clear" w:color="auto" w:fill="FFFFFF"/>
          <w:lang w:val="en-US" w:eastAsia="zh-CN"/>
        </w:rPr>
        <w:t>300元/人，财政给学校按每人每年300元拨付补助</w:t>
      </w:r>
      <w:r>
        <w:rPr>
          <w:rFonts w:hint="eastAsia" w:ascii="仿宋" w:hAnsi="仿宋" w:eastAsia="仿宋" w:cs="仿宋"/>
          <w:color w:val="333333"/>
          <w:sz w:val="32"/>
          <w:szCs w:val="32"/>
          <w:shd w:val="clear" w:color="auto" w:fill="FFFFFF"/>
          <w:lang w:eastAsia="zh-CN"/>
        </w:rPr>
        <w:t>）</w:t>
      </w:r>
      <w:r>
        <w:rPr>
          <w:rFonts w:hint="eastAsia" w:ascii="仿宋" w:hAnsi="仿宋" w:eastAsia="仿宋" w:cs="仿宋"/>
          <w:color w:val="333333"/>
          <w:sz w:val="32"/>
          <w:szCs w:val="32"/>
          <w:shd w:val="clear" w:color="auto" w:fill="FFFFFF"/>
        </w:rPr>
        <w:t>，发放建档立卡学生助学金32.12万元</w:t>
      </w:r>
      <w:r>
        <w:rPr>
          <w:rFonts w:hint="eastAsia" w:ascii="仿宋" w:hAnsi="仿宋" w:eastAsia="仿宋" w:cs="仿宋"/>
          <w:color w:val="333333"/>
          <w:sz w:val="32"/>
          <w:szCs w:val="32"/>
          <w:shd w:val="clear" w:color="auto" w:fill="FFFFFF"/>
          <w:lang w:eastAsia="zh-CN"/>
        </w:rPr>
        <w:t>（三年级学生不享受助学金，休学、复学、退学的按实际在校时间发放，发放标准每人每年</w:t>
      </w:r>
      <w:r>
        <w:rPr>
          <w:rFonts w:hint="eastAsia" w:ascii="仿宋" w:hAnsi="仿宋" w:eastAsia="仿宋" w:cs="仿宋"/>
          <w:color w:val="333333"/>
          <w:sz w:val="32"/>
          <w:szCs w:val="32"/>
          <w:shd w:val="clear" w:color="auto" w:fill="FFFFFF"/>
          <w:lang w:val="en-US" w:eastAsia="zh-CN"/>
        </w:rPr>
        <w:t>2000元，按月发放</w:t>
      </w:r>
      <w:r>
        <w:rPr>
          <w:rFonts w:hint="eastAsia" w:ascii="仿宋" w:hAnsi="仿宋" w:eastAsia="仿宋" w:cs="仿宋"/>
          <w:color w:val="333333"/>
          <w:sz w:val="32"/>
          <w:szCs w:val="32"/>
          <w:shd w:val="clear" w:color="auto" w:fill="FFFFFF"/>
          <w:lang w:eastAsia="zh-CN"/>
        </w:rPr>
        <w:t>）</w:t>
      </w:r>
      <w:r>
        <w:rPr>
          <w:rFonts w:hint="eastAsia" w:ascii="仿宋" w:hAnsi="仿宋" w:eastAsia="仿宋" w:cs="仿宋"/>
          <w:color w:val="333333"/>
          <w:sz w:val="32"/>
          <w:szCs w:val="32"/>
          <w:shd w:val="clear" w:color="auto" w:fill="FFFFFF"/>
        </w:rPr>
        <w:t>。</w:t>
      </w:r>
    </w:p>
    <w:p>
      <w:pPr>
        <w:ind w:firstLine="640" w:firstLineChars="200"/>
        <w:rPr>
          <w:rFonts w:hint="eastAsia" w:ascii="仿宋" w:hAnsi="仿宋" w:eastAsia="仿宋" w:cs="仿宋"/>
          <w:color w:val="333333"/>
          <w:sz w:val="32"/>
          <w:szCs w:val="32"/>
          <w:shd w:val="clear" w:color="auto" w:fill="FFFFFF"/>
        </w:rPr>
      </w:pPr>
      <w:r>
        <w:rPr>
          <w:rFonts w:hint="eastAsia" w:ascii="仿宋" w:hAnsi="仿宋" w:eastAsia="仿宋" w:cs="仿宋"/>
          <w:color w:val="333333"/>
          <w:sz w:val="32"/>
          <w:szCs w:val="32"/>
          <w:shd w:val="clear" w:color="auto" w:fill="FFFFFF"/>
        </w:rPr>
        <w:t>国家助学金资助情况：全年国家助学金累计资助796人次，发放资金79.5万元（其中春季学期国家助学金资助379人，发放37.94万元，秋季学期资助417人，发放金额41.56万元）。</w:t>
      </w:r>
      <w:r>
        <w:rPr>
          <w:rFonts w:hint="eastAsia" w:ascii="仿宋" w:hAnsi="仿宋" w:eastAsia="仿宋" w:cs="仿宋"/>
          <w:color w:val="333333"/>
          <w:sz w:val="32"/>
          <w:szCs w:val="32"/>
          <w:shd w:val="clear" w:color="auto" w:fill="FFFFFF"/>
          <w:lang w:eastAsia="zh-CN"/>
        </w:rPr>
        <w:t>（退学、休学按实际在校时间发放，发放标准每人每年</w:t>
      </w:r>
      <w:r>
        <w:rPr>
          <w:rFonts w:hint="eastAsia" w:ascii="仿宋" w:hAnsi="仿宋" w:eastAsia="仿宋" w:cs="仿宋"/>
          <w:color w:val="333333"/>
          <w:sz w:val="32"/>
          <w:szCs w:val="32"/>
          <w:shd w:val="clear" w:color="auto" w:fill="FFFFFF"/>
          <w:lang w:val="en-US" w:eastAsia="zh-CN"/>
        </w:rPr>
        <w:t>2000元，按月发放。当期结余资金结转下一学期</w:t>
      </w:r>
      <w:r>
        <w:rPr>
          <w:rFonts w:hint="eastAsia" w:ascii="仿宋" w:hAnsi="仿宋" w:eastAsia="仿宋" w:cs="仿宋"/>
          <w:color w:val="333333"/>
          <w:sz w:val="32"/>
          <w:szCs w:val="32"/>
          <w:shd w:val="clear" w:color="auto" w:fill="FFFFFF"/>
          <w:lang w:eastAsia="zh-CN"/>
        </w:rPr>
        <w:t>）</w:t>
      </w:r>
    </w:p>
    <w:p>
      <w:pPr>
        <w:ind w:firstLine="640" w:firstLineChars="200"/>
        <w:rPr>
          <w:rFonts w:hint="eastAsia" w:ascii="仿宋" w:hAnsi="仿宋" w:eastAsia="仿宋" w:cs="仿宋"/>
          <w:color w:val="333333"/>
          <w:sz w:val="32"/>
          <w:szCs w:val="32"/>
          <w:shd w:val="clear" w:color="auto" w:fill="FFFFFF"/>
        </w:rPr>
      </w:pPr>
      <w:r>
        <w:rPr>
          <w:rFonts w:hint="eastAsia" w:ascii="仿宋" w:hAnsi="仿宋" w:eastAsia="仿宋" w:cs="仿宋"/>
          <w:color w:val="333333"/>
          <w:sz w:val="32"/>
          <w:szCs w:val="32"/>
          <w:shd w:val="clear" w:color="auto" w:fill="FFFFFF"/>
        </w:rPr>
        <w:t>免学费补助资金拨付情况：全年累计免除学生学费</w:t>
      </w:r>
      <w:r>
        <w:rPr>
          <w:rFonts w:hint="eastAsia" w:ascii="仿宋" w:hAnsi="仿宋" w:eastAsia="仿宋" w:cs="仿宋"/>
          <w:color w:val="333333"/>
          <w:sz w:val="32"/>
          <w:szCs w:val="32"/>
          <w:shd w:val="clear" w:color="auto" w:fill="FFFFFF"/>
          <w:lang w:eastAsia="zh-CN"/>
        </w:rPr>
        <w:t>（每学期</w:t>
      </w:r>
      <w:r>
        <w:rPr>
          <w:rFonts w:hint="eastAsia" w:ascii="仿宋" w:hAnsi="仿宋" w:eastAsia="仿宋" w:cs="仿宋"/>
          <w:color w:val="333333"/>
          <w:sz w:val="32"/>
          <w:szCs w:val="32"/>
          <w:shd w:val="clear" w:color="auto" w:fill="FFFFFF"/>
          <w:lang w:val="en-US" w:eastAsia="zh-CN"/>
        </w:rPr>
        <w:t>800/人）</w:t>
      </w:r>
      <w:r>
        <w:rPr>
          <w:rFonts w:hint="eastAsia" w:ascii="仿宋" w:hAnsi="仿宋" w:eastAsia="仿宋" w:cs="仿宋"/>
          <w:color w:val="333333"/>
          <w:sz w:val="32"/>
          <w:szCs w:val="32"/>
          <w:shd w:val="clear" w:color="auto" w:fill="FFFFFF"/>
        </w:rPr>
        <w:t>3664人次，财政共拨付免学费补助资金293.12万元（其中春季学期免除学费1545人，财政拨付资金123.6万元；秋季学期免除学费2119人，财政拨付169.52万元）。</w:t>
      </w:r>
    </w:p>
    <w:p>
      <w:pPr>
        <w:ind w:firstLine="640" w:firstLineChars="200"/>
        <w:rPr>
          <w:rFonts w:hint="eastAsia" w:ascii="仿宋" w:hAnsi="仿宋" w:eastAsia="仿宋" w:cs="仿宋"/>
          <w:color w:val="333333"/>
          <w:sz w:val="32"/>
          <w:szCs w:val="32"/>
          <w:shd w:val="clear" w:color="auto" w:fill="FFFFFF"/>
        </w:rPr>
      </w:pPr>
      <w:r>
        <w:rPr>
          <w:rFonts w:hint="eastAsia" w:ascii="仿宋" w:hAnsi="仿宋" w:eastAsia="仿宋" w:cs="仿宋"/>
          <w:color w:val="333333"/>
          <w:sz w:val="32"/>
          <w:szCs w:val="32"/>
          <w:shd w:val="clear" w:color="auto" w:fill="FFFFFF"/>
        </w:rPr>
        <w:t>“雨露计划”情况：学校按照《河北省扶贫工程开发办公室关于调整“雨露计划”职业教育工作程序的通知》精神，认真落实县扶贫办相关会议要求，利用橱窗、资助政策宣传单等形式大力宣传“雨露计划”资助政策及工作程序，对符合资助条件的未脱贫建档立卡家庭学生和已脱贫（享受政策）家庭学生开具河北省雨露计划职业教育补助申请学籍证明（一式三份），一份学生或家长带回交所在乡镇，一份报县扶贫办，一份学校存档。同时学校积极与县扶贫办沟通、比对享受政策学生情况，核实享受补助资金到位情况。2018年春季学期亨受政策学生16</w:t>
      </w:r>
      <w:r>
        <w:rPr>
          <w:rFonts w:hint="eastAsia" w:ascii="仿宋" w:hAnsi="仿宋" w:eastAsia="仿宋" w:cs="仿宋"/>
          <w:color w:val="333333"/>
          <w:sz w:val="32"/>
          <w:szCs w:val="32"/>
          <w:shd w:val="clear" w:color="auto" w:fill="FFFFFF"/>
          <w:lang w:val="en-US" w:eastAsia="zh-CN"/>
        </w:rPr>
        <w:t>5</w:t>
      </w:r>
      <w:r>
        <w:rPr>
          <w:rFonts w:hint="eastAsia" w:ascii="仿宋" w:hAnsi="仿宋" w:eastAsia="仿宋" w:cs="仿宋"/>
          <w:color w:val="333333"/>
          <w:sz w:val="32"/>
          <w:szCs w:val="32"/>
          <w:shd w:val="clear" w:color="auto" w:fill="FFFFFF"/>
        </w:rPr>
        <w:t>人</w:t>
      </w:r>
      <w:r>
        <w:rPr>
          <w:rFonts w:hint="eastAsia" w:ascii="仿宋" w:hAnsi="仿宋" w:eastAsia="仿宋" w:cs="仿宋"/>
          <w:color w:val="333333"/>
          <w:sz w:val="32"/>
          <w:szCs w:val="32"/>
          <w:shd w:val="clear" w:color="auto" w:fill="FFFFFF"/>
          <w:lang w:eastAsia="zh-CN"/>
        </w:rPr>
        <w:t>（</w:t>
      </w:r>
      <w:r>
        <w:rPr>
          <w:rFonts w:hint="eastAsia" w:ascii="仿宋" w:hAnsi="仿宋" w:eastAsia="仿宋" w:cs="仿宋"/>
          <w:color w:val="333333"/>
          <w:sz w:val="32"/>
          <w:szCs w:val="32"/>
          <w:shd w:val="clear" w:color="auto" w:fill="FFFFFF"/>
          <w:lang w:val="en-US" w:eastAsia="zh-CN"/>
        </w:rPr>
        <w:t>有2人在2018年3月退学，不在“雨露计划”补助范围内；有20人在扶贫数据规范提升、动态调整过程中，在与扶贫数据比对核实时贫困属性变为已脱贫（不享受政策），不在“雨露计划”补助范围内）</w:t>
      </w:r>
      <w:r>
        <w:rPr>
          <w:rFonts w:hint="eastAsia" w:ascii="仿宋" w:hAnsi="仿宋" w:eastAsia="仿宋" w:cs="仿宋"/>
          <w:color w:val="333333"/>
          <w:sz w:val="32"/>
          <w:szCs w:val="32"/>
          <w:shd w:val="clear" w:color="auto" w:fill="FFFFFF"/>
        </w:rPr>
        <w:t>，秋季学期亨受政策学生22</w:t>
      </w:r>
      <w:r>
        <w:rPr>
          <w:rFonts w:hint="eastAsia" w:ascii="仿宋" w:hAnsi="仿宋" w:eastAsia="仿宋" w:cs="仿宋"/>
          <w:color w:val="333333"/>
          <w:sz w:val="32"/>
          <w:szCs w:val="32"/>
          <w:shd w:val="clear" w:color="auto" w:fill="FFFFFF"/>
          <w:lang w:val="en-US" w:eastAsia="zh-CN"/>
        </w:rPr>
        <w:t>1</w:t>
      </w:r>
      <w:r>
        <w:rPr>
          <w:rFonts w:hint="eastAsia" w:ascii="仿宋" w:hAnsi="仿宋" w:eastAsia="仿宋" w:cs="仿宋"/>
          <w:color w:val="333333"/>
          <w:sz w:val="32"/>
          <w:szCs w:val="32"/>
          <w:shd w:val="clear" w:color="auto" w:fill="FFFFFF"/>
        </w:rPr>
        <w:t>人，扶贫办正在核实发放进行中。</w:t>
      </w:r>
    </w:p>
    <w:p>
      <w:pPr>
        <w:rPr>
          <w:rFonts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 xml:space="preserve">表13                             </w:t>
      </w:r>
    </w:p>
    <w:tbl>
      <w:tblPr>
        <w:tblStyle w:val="10"/>
        <w:tblW w:w="8699" w:type="dxa"/>
        <w:tblInd w:w="0" w:type="dxa"/>
        <w:tblLayout w:type="fixed"/>
        <w:tblCellMar>
          <w:top w:w="15" w:type="dxa"/>
          <w:left w:w="15" w:type="dxa"/>
          <w:bottom w:w="15" w:type="dxa"/>
          <w:right w:w="15" w:type="dxa"/>
        </w:tblCellMar>
      </w:tblPr>
      <w:tblGrid>
        <w:gridCol w:w="3330"/>
        <w:gridCol w:w="1790"/>
        <w:gridCol w:w="1789"/>
        <w:gridCol w:w="1790"/>
      </w:tblGrid>
      <w:tr>
        <w:tblPrEx>
          <w:tblLayout w:type="fixed"/>
          <w:tblCellMar>
            <w:top w:w="15" w:type="dxa"/>
            <w:left w:w="15" w:type="dxa"/>
            <w:bottom w:w="15" w:type="dxa"/>
            <w:right w:w="15" w:type="dxa"/>
          </w:tblCellMar>
        </w:tblPrEx>
        <w:trPr>
          <w:trHeight w:val="317" w:hRule="exact"/>
        </w:trPr>
        <w:tc>
          <w:tcPr>
            <w:tcW w:w="3330"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项目</w:t>
            </w:r>
          </w:p>
        </w:tc>
        <w:tc>
          <w:tcPr>
            <w:tcW w:w="1790"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201</w:t>
            </w:r>
            <w:r>
              <w:rPr>
                <w:rFonts w:hint="eastAsia" w:ascii="仿宋" w:hAnsi="仿宋" w:eastAsia="仿宋" w:cs="仿宋_GB2312"/>
                <w:color w:val="000000"/>
                <w:kern w:val="0"/>
                <w:szCs w:val="21"/>
                <w:lang w:val="en-US" w:eastAsia="zh-CN"/>
              </w:rPr>
              <w:t>7</w:t>
            </w:r>
            <w:r>
              <w:rPr>
                <w:rFonts w:hint="eastAsia" w:ascii="仿宋" w:hAnsi="仿宋" w:eastAsia="仿宋" w:cs="仿宋_GB2312"/>
                <w:color w:val="000000"/>
                <w:kern w:val="0"/>
                <w:szCs w:val="21"/>
              </w:rPr>
              <w:t>年</w:t>
            </w:r>
          </w:p>
        </w:tc>
        <w:tc>
          <w:tcPr>
            <w:tcW w:w="1789"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201</w:t>
            </w:r>
            <w:r>
              <w:rPr>
                <w:rFonts w:hint="eastAsia" w:ascii="仿宋" w:hAnsi="仿宋" w:eastAsia="仿宋" w:cs="仿宋_GB2312"/>
                <w:color w:val="000000"/>
                <w:kern w:val="0"/>
                <w:szCs w:val="21"/>
                <w:lang w:val="en-US" w:eastAsia="zh-CN"/>
              </w:rPr>
              <w:t>8</w:t>
            </w:r>
            <w:r>
              <w:rPr>
                <w:rFonts w:hint="eastAsia" w:ascii="仿宋" w:hAnsi="仿宋" w:eastAsia="仿宋" w:cs="仿宋_GB2312"/>
                <w:color w:val="000000"/>
                <w:kern w:val="0"/>
                <w:szCs w:val="21"/>
              </w:rPr>
              <w:t>年</w:t>
            </w:r>
          </w:p>
        </w:tc>
        <w:tc>
          <w:tcPr>
            <w:tcW w:w="1790"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bottom"/>
              <w:rPr>
                <w:rFonts w:ascii="仿宋" w:hAnsi="仿宋" w:eastAsia="仿宋" w:cs="仿宋_GB2312"/>
                <w:color w:val="000000"/>
                <w:szCs w:val="21"/>
              </w:rPr>
            </w:pPr>
            <w:r>
              <w:rPr>
                <w:rFonts w:hint="eastAsia" w:ascii="仿宋" w:hAnsi="仿宋" w:eastAsia="仿宋" w:cs="仿宋_GB2312"/>
                <w:color w:val="000000"/>
                <w:kern w:val="0"/>
                <w:szCs w:val="21"/>
              </w:rPr>
              <w:t>同比增长</w:t>
            </w:r>
          </w:p>
        </w:tc>
      </w:tr>
      <w:tr>
        <w:tblPrEx>
          <w:tblLayout w:type="fixed"/>
          <w:tblCellMar>
            <w:top w:w="15" w:type="dxa"/>
            <w:left w:w="15" w:type="dxa"/>
            <w:bottom w:w="15" w:type="dxa"/>
            <w:right w:w="15" w:type="dxa"/>
          </w:tblCellMar>
        </w:tblPrEx>
        <w:trPr>
          <w:trHeight w:val="317" w:hRule="exact"/>
        </w:trPr>
        <w:tc>
          <w:tcPr>
            <w:tcW w:w="333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kern w:val="0"/>
                <w:szCs w:val="21"/>
              </w:rPr>
            </w:pPr>
            <w:r>
              <w:rPr>
                <w:rFonts w:hint="eastAsia" w:ascii="仿宋" w:hAnsi="仿宋" w:eastAsia="仿宋" w:cs="仿宋_GB2312"/>
                <w:color w:val="000000"/>
                <w:kern w:val="0"/>
                <w:szCs w:val="21"/>
              </w:rPr>
              <w:t>免学费拨款</w:t>
            </w:r>
          </w:p>
        </w:tc>
        <w:tc>
          <w:tcPr>
            <w:tcW w:w="179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hint="eastAsia" w:ascii="仿宋" w:hAnsi="仿宋" w:eastAsia="仿宋" w:cs="仿宋_GB2312"/>
                <w:color w:val="000000"/>
                <w:kern w:val="0"/>
                <w:szCs w:val="21"/>
                <w:lang w:val="en-US" w:eastAsia="zh-CN"/>
              </w:rPr>
            </w:pPr>
            <w:r>
              <w:rPr>
                <w:rFonts w:hint="eastAsia" w:ascii="仿宋" w:hAnsi="仿宋" w:eastAsia="仿宋" w:cs="仿宋_GB2312"/>
                <w:color w:val="000000"/>
                <w:kern w:val="0"/>
                <w:szCs w:val="21"/>
                <w:lang w:val="en-US" w:eastAsia="zh-CN"/>
              </w:rPr>
              <w:t>272.24</w:t>
            </w:r>
          </w:p>
        </w:tc>
        <w:tc>
          <w:tcPr>
            <w:tcW w:w="178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hint="eastAsia" w:ascii="仿宋" w:hAnsi="仿宋" w:eastAsia="仿宋" w:cs="仿宋_GB2312"/>
                <w:color w:val="000000"/>
                <w:kern w:val="0"/>
                <w:szCs w:val="21"/>
                <w:lang w:val="en-US" w:eastAsia="zh-CN"/>
              </w:rPr>
            </w:pPr>
            <w:r>
              <w:rPr>
                <w:rFonts w:hint="eastAsia" w:ascii="仿宋" w:hAnsi="仿宋" w:eastAsia="仿宋" w:cs="仿宋_GB2312"/>
                <w:color w:val="000000"/>
                <w:kern w:val="0"/>
                <w:szCs w:val="21"/>
                <w:lang w:val="en-US" w:eastAsia="zh-CN"/>
              </w:rPr>
              <w:t>293.12</w:t>
            </w:r>
          </w:p>
        </w:tc>
        <w:tc>
          <w:tcPr>
            <w:tcW w:w="179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kern w:val="0"/>
                <w:szCs w:val="21"/>
              </w:rPr>
            </w:pPr>
            <w:r>
              <w:rPr>
                <w:rFonts w:hint="eastAsia" w:ascii="仿宋" w:hAnsi="仿宋" w:eastAsia="仿宋" w:cs="仿宋_GB2312"/>
                <w:color w:val="000000"/>
                <w:kern w:val="0"/>
                <w:szCs w:val="21"/>
                <w:lang w:val="en-US" w:eastAsia="zh-CN"/>
              </w:rPr>
              <w:t>7.7</w:t>
            </w:r>
            <w:r>
              <w:rPr>
                <w:rFonts w:hint="eastAsia" w:ascii="仿宋" w:hAnsi="仿宋" w:eastAsia="仿宋" w:cs="仿宋_GB2312"/>
                <w:color w:val="000000"/>
                <w:kern w:val="0"/>
                <w:szCs w:val="21"/>
              </w:rPr>
              <w:t>%</w:t>
            </w:r>
          </w:p>
        </w:tc>
      </w:tr>
      <w:tr>
        <w:tblPrEx>
          <w:tblLayout w:type="fixed"/>
          <w:tblCellMar>
            <w:top w:w="15" w:type="dxa"/>
            <w:left w:w="15" w:type="dxa"/>
            <w:bottom w:w="15" w:type="dxa"/>
            <w:right w:w="15" w:type="dxa"/>
          </w:tblCellMar>
        </w:tblPrEx>
        <w:trPr>
          <w:trHeight w:val="317" w:hRule="exact"/>
        </w:trPr>
        <w:tc>
          <w:tcPr>
            <w:tcW w:w="333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kern w:val="0"/>
                <w:szCs w:val="21"/>
              </w:rPr>
            </w:pPr>
            <w:r>
              <w:rPr>
                <w:rFonts w:hint="eastAsia" w:ascii="仿宋" w:hAnsi="仿宋" w:eastAsia="仿宋" w:cs="仿宋_GB2312"/>
                <w:color w:val="000000"/>
                <w:kern w:val="0"/>
                <w:szCs w:val="21"/>
              </w:rPr>
              <w:t>助学金</w:t>
            </w:r>
          </w:p>
        </w:tc>
        <w:tc>
          <w:tcPr>
            <w:tcW w:w="179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hint="eastAsia" w:ascii="仿宋" w:hAnsi="仿宋" w:eastAsia="仿宋" w:cs="仿宋_GB2312"/>
                <w:color w:val="000000"/>
                <w:kern w:val="0"/>
                <w:szCs w:val="21"/>
                <w:lang w:val="en-US" w:eastAsia="zh-CN"/>
              </w:rPr>
            </w:pPr>
            <w:r>
              <w:rPr>
                <w:rFonts w:hint="eastAsia" w:ascii="仿宋" w:hAnsi="仿宋" w:eastAsia="仿宋" w:cs="仿宋_GB2312"/>
                <w:color w:val="000000"/>
                <w:kern w:val="0"/>
                <w:szCs w:val="21"/>
                <w:lang w:val="en-US" w:eastAsia="zh-CN"/>
              </w:rPr>
              <w:t>62.6</w:t>
            </w:r>
          </w:p>
        </w:tc>
        <w:tc>
          <w:tcPr>
            <w:tcW w:w="1789"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hint="eastAsia" w:ascii="仿宋" w:hAnsi="仿宋" w:eastAsia="仿宋" w:cs="仿宋_GB2312"/>
                <w:color w:val="000000"/>
                <w:kern w:val="0"/>
                <w:szCs w:val="21"/>
                <w:lang w:val="en-US" w:eastAsia="zh-CN"/>
              </w:rPr>
            </w:pPr>
            <w:r>
              <w:rPr>
                <w:rFonts w:hint="eastAsia" w:ascii="仿宋" w:hAnsi="仿宋" w:eastAsia="仿宋" w:cs="仿宋_GB2312"/>
                <w:color w:val="000000"/>
                <w:kern w:val="0"/>
                <w:szCs w:val="21"/>
                <w:lang w:val="en-US" w:eastAsia="zh-CN"/>
              </w:rPr>
              <w:t>78.5</w:t>
            </w:r>
          </w:p>
        </w:tc>
        <w:tc>
          <w:tcPr>
            <w:tcW w:w="179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bottom"/>
              <w:rPr>
                <w:rFonts w:ascii="仿宋" w:hAnsi="仿宋" w:eastAsia="仿宋" w:cs="仿宋_GB2312"/>
                <w:color w:val="000000"/>
                <w:kern w:val="0"/>
                <w:szCs w:val="21"/>
              </w:rPr>
            </w:pPr>
            <w:r>
              <w:rPr>
                <w:rFonts w:hint="eastAsia" w:ascii="仿宋" w:hAnsi="仿宋" w:eastAsia="仿宋" w:cs="仿宋_GB2312"/>
                <w:color w:val="000000"/>
                <w:kern w:val="0"/>
                <w:szCs w:val="21"/>
                <w:lang w:val="en-US" w:eastAsia="zh-CN"/>
              </w:rPr>
              <w:t>25.4</w:t>
            </w:r>
            <w:r>
              <w:rPr>
                <w:rFonts w:hint="eastAsia" w:ascii="仿宋" w:hAnsi="仿宋" w:eastAsia="仿宋" w:cs="仿宋_GB2312"/>
                <w:color w:val="000000"/>
                <w:kern w:val="0"/>
                <w:szCs w:val="21"/>
              </w:rPr>
              <w:t>%</w:t>
            </w:r>
          </w:p>
        </w:tc>
      </w:tr>
    </w:tbl>
    <w:p>
      <w:pPr>
        <w:jc w:val="center"/>
        <w:rPr>
          <w:rFonts w:hint="eastAsia"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免学费和助学金落实情况 （万元）</w:t>
      </w:r>
    </w:p>
    <w:p>
      <w:pPr>
        <w:jc w:val="both"/>
        <w:rPr>
          <w:rFonts w:hint="eastAsia" w:ascii="仿宋_GB2312" w:hAnsi="仿宋_GB2312" w:eastAsia="仿宋_GB2312" w:cs="仿宋_GB2312"/>
          <w:color w:val="333333"/>
          <w:szCs w:val="21"/>
          <w:shd w:val="clear" w:color="auto" w:fill="FFFFFF"/>
        </w:rPr>
      </w:pPr>
      <w:r>
        <w:drawing>
          <wp:inline distT="0" distB="0" distL="114300" distR="114300">
            <wp:extent cx="5619750" cy="2014220"/>
            <wp:effectExtent l="13970" t="13970" r="24130" b="29210"/>
            <wp:docPr id="42"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2.3.2学校对学生的资助情况</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 w:hAnsi="仿宋" w:eastAsia="仿宋" w:cs="仿宋"/>
          <w:color w:val="333333"/>
          <w:sz w:val="32"/>
          <w:szCs w:val="32"/>
          <w:shd w:val="clear" w:color="auto" w:fill="FFFFFF"/>
        </w:rPr>
        <w:t>校内学生资助情况：全年学校事业性收入90.99万元，校内助学金累计资助69人次，发放资金6.9万元，占比7.6%。</w:t>
      </w:r>
      <w:r>
        <w:rPr>
          <w:rFonts w:hint="eastAsia" w:ascii="仿宋" w:hAnsi="仿宋" w:eastAsia="仿宋" w:cs="仿宋"/>
          <w:color w:val="333333"/>
          <w:sz w:val="32"/>
          <w:szCs w:val="32"/>
          <w:shd w:val="clear" w:color="auto" w:fill="FFFFFF"/>
          <w:lang w:eastAsia="zh-CN"/>
        </w:rPr>
        <w:t>（发放标准</w:t>
      </w:r>
      <w:r>
        <w:rPr>
          <w:rFonts w:hint="eastAsia" w:ascii="仿宋" w:hAnsi="仿宋" w:eastAsia="仿宋" w:cs="仿宋"/>
          <w:color w:val="333333"/>
          <w:sz w:val="32"/>
          <w:szCs w:val="32"/>
          <w:shd w:val="clear" w:color="auto" w:fill="FFFFFF"/>
          <w:lang w:val="en-US" w:eastAsia="zh-CN"/>
        </w:rPr>
        <w:t>2000元/年、人）</w:t>
      </w:r>
      <w:r>
        <w:rPr>
          <w:rFonts w:hint="eastAsia" w:ascii="仿宋_GB2312" w:hAnsi="仿宋_GB2312" w:eastAsia="仿宋_GB2312" w:cs="仿宋_GB2312"/>
          <w:color w:val="333333"/>
          <w:sz w:val="32"/>
          <w:szCs w:val="32"/>
          <w:shd w:val="clear" w:color="auto" w:fill="FFFFFF"/>
        </w:rPr>
        <w:t>。</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2.4就业质量</w:t>
      </w:r>
    </w:p>
    <w:p>
      <w:pPr>
        <w:rPr>
          <w:rFonts w:hint="eastAsia" w:ascii="仿宋" w:hAnsi="仿宋" w:eastAsia="仿宋" w:cs="仿宋"/>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 xml:space="preserve">  </w:t>
      </w:r>
      <w:r>
        <w:rPr>
          <w:rFonts w:hint="eastAsia" w:ascii="仿宋" w:hAnsi="仿宋" w:eastAsia="仿宋" w:cs="仿宋"/>
          <w:color w:val="333333"/>
          <w:sz w:val="32"/>
          <w:szCs w:val="32"/>
          <w:shd w:val="clear" w:color="auto" w:fill="FFFFFF"/>
          <w:lang w:val="en-US" w:eastAsia="zh-CN"/>
        </w:rPr>
        <w:t xml:space="preserve">升入高等教育比例 2018年毕业生人数586人，对口升学人数496人，比例为84.64% ；2017年毕业生人数499人，对口升学人数394人，比例为78.96%；2016年 毕业生人数332人 对口升学人数312人 比例为94.54%。   </w:t>
      </w:r>
    </w:p>
    <w:p>
      <w:pPr>
        <w:rPr>
          <w:rFonts w:hint="eastAsia"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 xml:space="preserve">表14 </w:t>
      </w:r>
    </w:p>
    <w:tbl>
      <w:tblPr>
        <w:tblStyle w:val="10"/>
        <w:tblW w:w="87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79"/>
        <w:gridCol w:w="1079"/>
        <w:gridCol w:w="1546"/>
        <w:gridCol w:w="1080"/>
        <w:gridCol w:w="1080"/>
        <w:gridCol w:w="1080"/>
        <w:gridCol w:w="1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1079" w:type="dxa"/>
            <w:tcBorders>
              <w:top w:val="single" w:color="000000" w:sz="12" w:space="0"/>
              <w:left w:val="single" w:color="000000" w:sz="12" w:space="0"/>
              <w:bottom w:val="single" w:color="000000" w:sz="12" w:space="0"/>
              <w:right w:val="single" w:color="000000" w:sz="12" w:space="0"/>
            </w:tcBorders>
            <w:shd w:val="clear" w:color="auto" w:fill="9CC2E5" w:themeFill="accent1" w:themeFillTint="99"/>
            <w:vAlign w:val="center"/>
          </w:tcPr>
          <w:p>
            <w:pPr>
              <w:jc w:val="center"/>
              <w:rPr>
                <w:rFonts w:hint="eastAsia" w:ascii="宋体" w:hAnsi="宋体" w:eastAsia="宋体" w:cs="宋体"/>
                <w:i w:val="0"/>
                <w:color w:val="000000"/>
                <w:sz w:val="24"/>
                <w:szCs w:val="24"/>
                <w:u w:val="none"/>
              </w:rPr>
            </w:pPr>
          </w:p>
        </w:tc>
        <w:tc>
          <w:tcPr>
            <w:tcW w:w="1079" w:type="dxa"/>
            <w:tcBorders>
              <w:top w:val="single" w:color="000000" w:sz="12" w:space="0"/>
              <w:bottom w:val="single" w:color="000000" w:sz="12" w:space="0"/>
              <w:right w:val="single" w:color="000000" w:sz="12" w:space="0"/>
            </w:tcBorders>
            <w:shd w:val="clear" w:color="auto" w:fill="9CC2E5" w:themeFill="accent1" w:themeFillTint="99"/>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毕业人数</w:t>
            </w:r>
          </w:p>
        </w:tc>
        <w:tc>
          <w:tcPr>
            <w:tcW w:w="1546" w:type="dxa"/>
            <w:tcBorders>
              <w:top w:val="single" w:color="000000" w:sz="12" w:space="0"/>
              <w:bottom w:val="single" w:color="000000" w:sz="12" w:space="0"/>
              <w:right w:val="single" w:color="000000" w:sz="12" w:space="0"/>
            </w:tcBorders>
            <w:shd w:val="clear" w:color="auto" w:fill="9CC2E5" w:themeFill="accent1" w:themeFillTint="99"/>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就业人数</w:t>
            </w:r>
          </w:p>
        </w:tc>
        <w:tc>
          <w:tcPr>
            <w:tcW w:w="1080" w:type="dxa"/>
            <w:tcBorders>
              <w:top w:val="single" w:color="000000" w:sz="12" w:space="0"/>
              <w:bottom w:val="single" w:color="000000" w:sz="12" w:space="0"/>
              <w:right w:val="single" w:color="000000" w:sz="12" w:space="0"/>
            </w:tcBorders>
            <w:shd w:val="clear" w:color="auto" w:fill="9CC2E5" w:themeFill="accent1" w:themeFillTint="99"/>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对口就业</w:t>
            </w:r>
          </w:p>
        </w:tc>
        <w:tc>
          <w:tcPr>
            <w:tcW w:w="1080" w:type="dxa"/>
            <w:tcBorders>
              <w:top w:val="single" w:color="000000" w:sz="12" w:space="0"/>
              <w:bottom w:val="single" w:color="000000" w:sz="12" w:space="0"/>
              <w:right w:val="single" w:color="000000" w:sz="12" w:space="0"/>
            </w:tcBorders>
            <w:shd w:val="clear" w:color="auto" w:fill="9CC2E5" w:themeFill="accent1" w:themeFillTint="99"/>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就业率</w:t>
            </w:r>
          </w:p>
        </w:tc>
        <w:tc>
          <w:tcPr>
            <w:tcW w:w="1080" w:type="dxa"/>
            <w:tcBorders>
              <w:top w:val="single" w:color="000000" w:sz="12" w:space="0"/>
              <w:bottom w:val="single" w:color="000000" w:sz="12" w:space="0"/>
              <w:right w:val="single" w:color="000000" w:sz="12" w:space="0"/>
            </w:tcBorders>
            <w:shd w:val="clear" w:color="auto" w:fill="9CC2E5" w:themeFill="accent1" w:themeFillTint="99"/>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对口就业率</w:t>
            </w:r>
          </w:p>
        </w:tc>
        <w:tc>
          <w:tcPr>
            <w:tcW w:w="1816" w:type="dxa"/>
            <w:tcBorders>
              <w:top w:val="single" w:color="000000" w:sz="12" w:space="0"/>
              <w:bottom w:val="single" w:color="000000" w:sz="12" w:space="0"/>
              <w:right w:val="single" w:color="000000" w:sz="12" w:space="0"/>
            </w:tcBorders>
            <w:shd w:val="clear" w:color="auto" w:fill="9CC2E5" w:themeFill="accent1" w:themeFillTint="99"/>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初次起薪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1079" w:type="dxa"/>
            <w:tcBorders>
              <w:left w:val="single" w:color="000000" w:sz="12" w:space="0"/>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农林</w:t>
            </w:r>
          </w:p>
        </w:tc>
        <w:tc>
          <w:tcPr>
            <w:tcW w:w="1079"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99</w:t>
            </w:r>
          </w:p>
        </w:tc>
        <w:tc>
          <w:tcPr>
            <w:tcW w:w="1546"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99</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98</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98.99%</w:t>
            </w:r>
          </w:p>
        </w:tc>
        <w:tc>
          <w:tcPr>
            <w:tcW w:w="1816"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1079" w:type="dxa"/>
            <w:tcBorders>
              <w:left w:val="single" w:color="000000" w:sz="12" w:space="0"/>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机电</w:t>
            </w:r>
          </w:p>
        </w:tc>
        <w:tc>
          <w:tcPr>
            <w:tcW w:w="1079"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105</w:t>
            </w:r>
          </w:p>
        </w:tc>
        <w:tc>
          <w:tcPr>
            <w:tcW w:w="1546"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105</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95.24%</w:t>
            </w:r>
          </w:p>
        </w:tc>
        <w:tc>
          <w:tcPr>
            <w:tcW w:w="1816"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1079" w:type="dxa"/>
            <w:tcBorders>
              <w:left w:val="single" w:color="000000" w:sz="12" w:space="0"/>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计算机</w:t>
            </w:r>
          </w:p>
        </w:tc>
        <w:tc>
          <w:tcPr>
            <w:tcW w:w="1079"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131</w:t>
            </w:r>
          </w:p>
        </w:tc>
        <w:tc>
          <w:tcPr>
            <w:tcW w:w="1546"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131</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94</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71.76%</w:t>
            </w:r>
          </w:p>
        </w:tc>
        <w:tc>
          <w:tcPr>
            <w:tcW w:w="1816"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1079" w:type="dxa"/>
            <w:tcBorders>
              <w:left w:val="single" w:color="000000" w:sz="12" w:space="0"/>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财会</w:t>
            </w:r>
          </w:p>
        </w:tc>
        <w:tc>
          <w:tcPr>
            <w:tcW w:w="1079"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139</w:t>
            </w:r>
          </w:p>
        </w:tc>
        <w:tc>
          <w:tcPr>
            <w:tcW w:w="1546"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138</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120</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99.28%</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86.33%</w:t>
            </w:r>
          </w:p>
        </w:tc>
        <w:tc>
          <w:tcPr>
            <w:tcW w:w="1816"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1079" w:type="dxa"/>
            <w:tcBorders>
              <w:left w:val="single" w:color="000000" w:sz="12" w:space="0"/>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旅游服务</w:t>
            </w:r>
          </w:p>
        </w:tc>
        <w:tc>
          <w:tcPr>
            <w:tcW w:w="1079"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1546"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75.00%</w:t>
            </w:r>
          </w:p>
        </w:tc>
        <w:tc>
          <w:tcPr>
            <w:tcW w:w="1816"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1079" w:type="dxa"/>
            <w:tcBorders>
              <w:left w:val="single" w:color="000000" w:sz="12" w:space="0"/>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电子技术应用</w:t>
            </w:r>
          </w:p>
        </w:tc>
        <w:tc>
          <w:tcPr>
            <w:tcW w:w="1079"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88</w:t>
            </w:r>
          </w:p>
        </w:tc>
        <w:tc>
          <w:tcPr>
            <w:tcW w:w="1546"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80</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90.90%</w:t>
            </w:r>
          </w:p>
        </w:tc>
        <w:tc>
          <w:tcPr>
            <w:tcW w:w="1080"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51.14%</w:t>
            </w:r>
          </w:p>
        </w:tc>
        <w:tc>
          <w:tcPr>
            <w:tcW w:w="1816" w:type="dxa"/>
            <w:tcBorders>
              <w:bottom w:val="single" w:color="000000" w:sz="12" w:space="0"/>
              <w:right w:val="single" w:color="000000" w:sz="12" w:space="0"/>
            </w:tcBorders>
            <w:shd w:val="clear" w:color="auto" w:fill="70AD47" w:themeFill="accent6"/>
            <w:vAlign w:val="center"/>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2000元</w:t>
            </w:r>
          </w:p>
        </w:tc>
      </w:tr>
    </w:tbl>
    <w:p>
      <w:pPr>
        <w:jc w:val="center"/>
        <w:rPr>
          <w:rFonts w:hint="eastAsia"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就业情况统计表</w:t>
      </w:r>
    </w:p>
    <w:p>
      <w:pPr>
        <w:rPr>
          <w:rFonts w:hint="eastAsia" w:ascii="仿宋_GB2312" w:hAnsi="仿宋_GB2312" w:eastAsia="仿宋_GB2312" w:cs="仿宋_GB2312"/>
          <w:color w:val="333333"/>
          <w:szCs w:val="21"/>
          <w:shd w:val="clear" w:color="auto" w:fill="FFFFFF"/>
        </w:rPr>
      </w:pPr>
      <w:r>
        <w:drawing>
          <wp:inline distT="0" distB="0" distL="114300" distR="114300">
            <wp:extent cx="5817870" cy="3045460"/>
            <wp:effectExtent l="13970" t="13970" r="16510" b="26670"/>
            <wp:docPr id="43"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hint="eastAsia" w:ascii="仿宋_GB2312" w:hAnsi="仿宋_GB2312" w:eastAsia="仿宋_GB2312" w:cs="仿宋_GB2312"/>
          <w:color w:val="333333"/>
          <w:szCs w:val="21"/>
          <w:shd w:val="clear" w:color="auto" w:fill="FFFFFF"/>
        </w:rPr>
        <w:t xml:space="preserve">    </w:t>
      </w:r>
    </w:p>
    <w:p>
      <w:pPr>
        <w:rPr>
          <w:rFonts w:hint="eastAsia" w:ascii="仿宋_GB2312" w:hAnsi="仿宋_GB2312" w:eastAsia="仿宋_GB2312" w:cs="仿宋_GB2312"/>
          <w:color w:val="333333"/>
          <w:szCs w:val="21"/>
          <w:shd w:val="clear" w:color="auto" w:fill="FFFFFF"/>
        </w:rPr>
      </w:pPr>
    </w:p>
    <w:p>
      <w:pPr>
        <w:rPr>
          <w:rFonts w:ascii="仿宋_GB2312" w:hAnsi="仿宋_GB2312" w:eastAsia="仿宋_GB2312" w:cs="仿宋_GB2312"/>
          <w:color w:val="333333"/>
          <w:szCs w:val="21"/>
          <w:shd w:val="clear" w:color="auto" w:fill="FFFFFF"/>
        </w:rPr>
      </w:pPr>
      <w:r>
        <w:drawing>
          <wp:inline distT="0" distB="0" distL="114300" distR="114300">
            <wp:extent cx="5666740" cy="2632710"/>
            <wp:effectExtent l="13970" t="13970" r="15240" b="20320"/>
            <wp:docPr id="44"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hint="eastAsia" w:ascii="仿宋_GB2312" w:hAnsi="仿宋_GB2312" w:eastAsia="仿宋_GB2312" w:cs="仿宋_GB2312"/>
          <w:color w:val="333333"/>
          <w:szCs w:val="21"/>
          <w:shd w:val="clear" w:color="auto" w:fill="FFFFFF"/>
        </w:rPr>
        <w:t xml:space="preserve">                     </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2.5职业发展</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2.5.1学习能力</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提出从重视学生的“学会”转变为重视学生的“会学”,从单独重视学生专业知识传授、专业技能提高转变为专业技能与职业素养融合培养,全方面培养学生的综合职业能力,包括专业能力、方法能力和发展能力。</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2.5.2岗位适应能力与迁移能力</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借助校内校外各类资源,为学生提供实践机会,并在工作实践中不断提升岗位的适应能力和岗位迁移能力。如与宽城大槐树电商建立创新创业基地,学生的岗位分工越来越明确,专业培养越来越精细化,适应能力显著提升。与优优汇联成立电子商务班,将“综合素养、职业精神”与教学高度融合,使学生在“软技能”上能贴近企业和社会的需求,岗位迁移能力明显增进。</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2.5.3创新创业能力</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学校积极响应“大众创业、万众创新”号召,系统加强创业教育。201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年，学校继续开展第二课堂和兴趣小组，定期组织技能大赛，动员广大学生积极参与，有</w:t>
      </w:r>
      <w:r>
        <w:rPr>
          <w:rFonts w:ascii="仿宋_GB2312" w:hAnsi="仿宋_GB2312" w:eastAsia="仿宋_GB2312" w:cs="仿宋_GB2312"/>
          <w:sz w:val="32"/>
          <w:szCs w:val="32"/>
        </w:rPr>
        <w:t>500</w:t>
      </w:r>
      <w:r>
        <w:rPr>
          <w:rFonts w:hint="eastAsia" w:ascii="仿宋_GB2312" w:hAnsi="仿宋_GB2312" w:eastAsia="仿宋_GB2312" w:cs="仿宋_GB2312"/>
          <w:sz w:val="32"/>
          <w:szCs w:val="32"/>
        </w:rPr>
        <w:t>多名学生参加了学校技能比赛。在省市技能大赛中，36名学生在会计手工、电子设备装配等项目上共获</w:t>
      </w:r>
      <w:r>
        <w:rPr>
          <w:rFonts w:hint="eastAsia" w:ascii="仿宋" w:hAnsi="仿宋" w:eastAsia="仿宋" w:cs="仿宋_GB2312"/>
          <w:sz w:val="32"/>
          <w:szCs w:val="32"/>
        </w:rPr>
        <w:t>团体二等奖4个，三等奖1个，优胜奖1个，6名教师获优秀辅导教师称号，学生专业技能得到充分锻炼，今年已有37名焊工、74名</w:t>
      </w:r>
      <w:r>
        <w:rPr>
          <w:rFonts w:hint="eastAsia" w:ascii="仿宋" w:hAnsi="仿宋" w:eastAsia="仿宋" w:cs="仿宋_GB2312"/>
          <w:sz w:val="32"/>
          <w:szCs w:val="32"/>
          <w:lang w:val="en-US" w:eastAsia="zh-CN"/>
        </w:rPr>
        <w:t>电工</w:t>
      </w:r>
      <w:r>
        <w:rPr>
          <w:rFonts w:hint="eastAsia" w:ascii="仿宋" w:hAnsi="仿宋" w:eastAsia="仿宋" w:cs="仿宋_GB2312"/>
          <w:sz w:val="32"/>
          <w:szCs w:val="32"/>
        </w:rPr>
        <w:t>和124名计算机学生在河北省职业技能鉴定考试中获得中级工技能等级证书</w:t>
      </w:r>
      <w:r>
        <w:rPr>
          <w:rFonts w:hint="eastAsia" w:ascii="仿宋_GB2312" w:hAnsi="仿宋_GB2312" w:eastAsia="仿宋_GB2312" w:cs="仿宋_GB2312"/>
          <w:sz w:val="32"/>
          <w:szCs w:val="32"/>
        </w:rPr>
        <w:t>。</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844540" cy="3399155"/>
            <wp:effectExtent l="0" t="0" r="3810" b="10795"/>
            <wp:docPr id="1" name="图片 1" descr="微信图片_2018121015163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1210151637_副本"/>
                    <pic:cNvPicPr>
                      <a:picLocks noChangeAspect="1"/>
                    </pic:cNvPicPr>
                  </pic:nvPicPr>
                  <pic:blipFill>
                    <a:blip r:embed="rId30"/>
                    <a:stretch>
                      <a:fillRect/>
                    </a:stretch>
                  </pic:blipFill>
                  <pic:spPr>
                    <a:xfrm>
                      <a:off x="0" y="0"/>
                      <a:ext cx="5844540" cy="3399155"/>
                    </a:xfrm>
                    <a:prstGeom prst="rect">
                      <a:avLst/>
                    </a:prstGeom>
                  </pic:spPr>
                </pic:pic>
              </a:graphicData>
            </a:graphic>
          </wp:inline>
        </w:drawing>
      </w:r>
    </w:p>
    <w:p>
      <w:pPr>
        <w:jc w:val="center"/>
        <w:rPr>
          <w:rFonts w:ascii="华文新魏" w:hAnsi="华文新魏" w:eastAsia="华文新魏" w:cs="华文新魏"/>
          <w:color w:val="333333"/>
          <w:sz w:val="32"/>
          <w:szCs w:val="32"/>
          <w:shd w:val="clear" w:color="auto" w:fill="FFFFFF"/>
        </w:rPr>
      </w:pPr>
      <w:r>
        <w:rPr>
          <w:rFonts w:hint="eastAsia" w:ascii="华文新魏" w:hAnsi="华文新魏" w:eastAsia="华文新魏" w:cs="华文新魏"/>
          <w:color w:val="333333"/>
          <w:sz w:val="32"/>
          <w:szCs w:val="32"/>
          <w:shd w:val="clear" w:color="auto" w:fill="FFFFFF"/>
        </w:rPr>
        <w:t>技能大赛获奖情况</w:t>
      </w:r>
    </w:p>
    <w:p>
      <w:pPr>
        <w:rPr>
          <w:rFonts w:ascii="黑体" w:hAnsi="黑体" w:eastAsia="黑体" w:cs="黑体"/>
          <w:color w:val="333333"/>
          <w:sz w:val="32"/>
          <w:szCs w:val="32"/>
          <w:shd w:val="clear" w:color="auto" w:fill="FFFFFF"/>
        </w:rPr>
      </w:pPr>
      <w:r>
        <w:rPr>
          <w:rFonts w:hint="eastAsia" w:ascii="黑体" w:hAnsi="黑体" w:eastAsia="黑体" w:cs="黑体"/>
          <w:color w:val="333333"/>
          <w:sz w:val="32"/>
          <w:szCs w:val="32"/>
          <w:shd w:val="clear" w:color="auto" w:fill="FFFFFF"/>
        </w:rPr>
        <w:t>3.质量保障措施</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3.1专业动态调整</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3.1.1专业结构调整</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坚持走“市场定位、骨干引领、特色发展”专业建设之路，适应区域经济以及京津冀协同发展的经济需求，根据市场设专业，大力加强骨干专业、特色专业建设，形成了以骨干专业引领、特色专业发展，引导其他专业不断扩张的专业发展格局。学校建立并完善人才需求与专业设置动态调整机制。</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3.1.2人才培养方案调整</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按照教育与产业、学校与企业、专业设置与职业岗位相对接的原则进行专业动态调整，主动适应区域产业结构优化升级要求，重点建设面向本地重点产业、优势产业和战略性新兴产业的观光农业经营、机电技术应用、旅游服务与管理、电子技术应用、会计等品牌专业。学校与河北旅游职业技术学院、河北科技师范学院建立了 “3+2”中高职衔接试点工作。实现了校校间的师资和教学资源共享，201</w:t>
      </w:r>
      <w:r>
        <w:rPr>
          <w:rFonts w:hint="eastAsia" w:ascii="仿宋_GB2312" w:hAnsi="仿宋_GB2312" w:eastAsia="仿宋_GB2312" w:cs="仿宋_GB2312"/>
          <w:color w:val="333333"/>
          <w:sz w:val="32"/>
          <w:szCs w:val="32"/>
          <w:shd w:val="clear" w:color="auto" w:fill="FFFFFF"/>
          <w:lang w:val="en-US" w:eastAsia="zh-CN"/>
        </w:rPr>
        <w:t>8</w:t>
      </w:r>
      <w:r>
        <w:rPr>
          <w:rFonts w:hint="eastAsia" w:ascii="仿宋_GB2312" w:hAnsi="仿宋_GB2312" w:eastAsia="仿宋_GB2312" w:cs="仿宋_GB2312"/>
          <w:color w:val="333333"/>
          <w:sz w:val="32"/>
          <w:szCs w:val="32"/>
          <w:shd w:val="clear" w:color="auto" w:fill="FFFFFF"/>
        </w:rPr>
        <w:t>年，各大院校专家教授20余人次来校授课，学校派多名教师到上述院校学习、深造。</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3.2教育教学改革</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积极创新专业课教学模式，形成了以项目教学、案例教学等为主体的教学模式。广大教师普遍采用项目教学、案例教学、场景教学和模拟教学等多种教学方式进行教学，注重教学过程实践性、开放性和职业性。根据专业特点，积极探索和实施小组学习、合作学习和自主学习；因材施教，推行分层教学、一对一教学等教学改革，建立了学习困难学生帮助机制等。</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为机电、会计、现代林业、电子商务等专业建立了虚拟仿真实务训练系统，有效地降低了实训成本，提高了实训效果。教师根据教学要求自主开发了一部分教学资源，分为公共基础课和专业技能课，内容包括PPT教案、实训项目库、教学案例、考试试题库等。</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3.2.1学校公共基础课</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学校开设语文、数学、英语、德育、体育、计算机应用、心理健康教育、创新、安全教育和公共艺术等公共基础课，确保每个专业学生都能学到必备的文化基础知识。</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3.2.2专业设置</w:t>
      </w:r>
    </w:p>
    <w:p>
      <w:pPr>
        <w:ind w:firstLine="320" w:firstLineChars="1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学校开设会计电算化、机电技术应用、现代林业技术、计算机应用和电气技术应用5个专业为对口升学专业；开设电子商务、旅游服务与管理2个专业为就业专业。7个专业均获得相应的专业等级证书，持双证毕业。</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3.2.3师资队伍</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 xml:space="preserve">    （1）优化教师队伍结构</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sz w:val="32"/>
          <w:szCs w:val="32"/>
        </w:rPr>
        <w:t>最近几年教师队伍不断壮大，教学能力和水平不断提升，学校继续</w:t>
      </w:r>
      <w:r>
        <w:rPr>
          <w:rFonts w:hint="eastAsia" w:ascii="仿宋_GB2312" w:hAnsi="仿宋_GB2312" w:eastAsia="仿宋_GB2312" w:cs="仿宋_GB2312"/>
          <w:color w:val="000000"/>
          <w:sz w:val="32"/>
          <w:szCs w:val="32"/>
        </w:rPr>
        <w:t>采取“内部培养，外出取经，引智到家”的教师培训模式，对教师进行教学能力、教学素养的培养和培训，</w:t>
      </w:r>
      <w:r>
        <w:rPr>
          <w:rFonts w:hint="eastAsia" w:ascii="仿宋_GB2312" w:hAnsi="仿宋_GB2312" w:eastAsia="仿宋_GB2312" w:cs="仿宋_GB2312"/>
          <w:sz w:val="32"/>
          <w:szCs w:val="32"/>
        </w:rPr>
        <w:t>进一步完善了人才引进机制，先后引进了13名专业对口的研究生团队，形成了老、中、青搭配合理的教师团队。</w:t>
      </w:r>
      <w:r>
        <w:rPr>
          <w:rFonts w:hint="eastAsia" w:ascii="仿宋_GB2312" w:hAnsi="仿宋_GB2312" w:eastAsia="仿宋_GB2312" w:cs="仿宋_GB2312"/>
          <w:color w:val="000000"/>
          <w:sz w:val="32"/>
          <w:szCs w:val="32"/>
        </w:rPr>
        <w:t>利用控编运行政策外聘教师，公开向社会招聘企事业单位工程技术人员充实到专业课教师队伍中，按相关政策保障聘用教师工资，现有外聘教师</w:t>
      </w:r>
      <w:r>
        <w:rPr>
          <w:rFonts w:hint="eastAsia" w:ascii="仿宋_GB2312" w:hAnsi="仿宋_GB2312" w:eastAsia="仿宋_GB2312" w:cs="仿宋_GB2312"/>
          <w:color w:val="000000"/>
          <w:sz w:val="32"/>
          <w:szCs w:val="32"/>
          <w:lang w:val="en-US" w:eastAsia="zh-CN"/>
        </w:rPr>
        <w:t>19</w:t>
      </w:r>
      <w:r>
        <w:rPr>
          <w:rFonts w:hint="eastAsia" w:ascii="仿宋_GB2312" w:hAnsi="仿宋_GB2312" w:eastAsia="仿宋_GB2312" w:cs="仿宋_GB2312"/>
          <w:color w:val="000000"/>
          <w:sz w:val="32"/>
          <w:szCs w:val="32"/>
        </w:rPr>
        <w:t>人，专业教师队伍结构进一步优化。</w:t>
      </w:r>
    </w:p>
    <w:p>
      <w:pPr>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（2）开展优师培养工程</w:t>
      </w:r>
    </w:p>
    <w:p>
      <w:pPr>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学校重视教师队伍建设，把建设高素质的教师队伍作为教育发展的关键。采取多种形式对教师进行职业道德和新教育理论、新知识、新技能培训，全面提高教师的综合素质。制定教师培训计划，以骨干教师为重点，建立健全名师工程体系，对教师学历、技能与基本素质提出了明确的要求，注重专业带头人的培养和教师业务能力的培训，使教师整体素质不断提高。201</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rPr>
        <w:t>年，学校累计投入5.5万元，先后派出50余名专业教师参加省、市组织的专业教师培训，选送4名专业教师到企业实习。</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3.2.4课程建设</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学校制定了校本教材开发、应用和更新制度，能根据产业、职业和岗位需求，积极开发校本教材，努力将知识教育和技能教育的成果融入校本教材。</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3.2.5人才培养模式改革</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为了适应社会需求和企业岗位的需要，近年来，学校坚持升学、就业并重，积极探索文化素养和职业技能并行的教育教学模式，有效推进工学结合，调整文化基础课和专业技能课的比例，让德育教育贯穿始终，让学生的综合素养和职业能力得到有效提升。</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针对高考，改革文化课课堂。学校针对学生实际情况，及时调整文化课和专业课的课时，及时调整教学深难度，及时编写校本教材和试题集，做到招招有针对，步步有成效。成立了学科教研组，搞好教学研讨，统一重难考点的讲法、练法、考法；集思广益，精挑细选，形成备考学科题库；广泛学习，不断优化专业技能迎考训练方案；明了学情，对踩线生、偏科生进行针对性培养。紧抓课堂，向45分钟要质量，提出了“堂清、日清、周清、月清”的教学管理模式，注重基础，有效提高。学校为每个考生量体裁衣，对于有可能考上本科的，为他们鼓足信心，加大教学管理力度。</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着眼质量，聚焦课堂。以改革创新实现专业教学精彩纷呈，换来课堂改革百花齐放。现代林业专业实施“双轨并行，轮岗实训”，组织学生到种植基地顶岗实习；机电技术应用专业与北京福田戴姆勒汽车有限公司等企业联合办学，实施“理实一体，能力递进”的模式改革；旅游专业实施“旺入淡出、学训交融”模式。让学生在做中学、学中炼，感知企业文化，提升专业技能，学生专业水平大幅度提升。学校重视学生技能训练，每年组队参加省级、市级中职技能大赛，连续多年在省市技能大赛中获奖。先后获得省级奖、市级奖</w:t>
      </w:r>
      <w:r>
        <w:rPr>
          <w:rFonts w:hint="eastAsia" w:ascii="仿宋_GB2312" w:hAnsi="仿宋_GB2312" w:eastAsia="仿宋_GB2312" w:cs="仿宋_GB2312"/>
          <w:color w:val="333333"/>
          <w:sz w:val="32"/>
          <w:szCs w:val="32"/>
          <w:shd w:val="clear" w:color="auto" w:fill="FFFFFF"/>
          <w:lang w:val="en-US" w:eastAsia="zh-CN"/>
        </w:rPr>
        <w:t>4</w:t>
      </w:r>
      <w:r>
        <w:rPr>
          <w:rFonts w:hint="eastAsia" w:ascii="仿宋_GB2312" w:hAnsi="仿宋_GB2312" w:eastAsia="仿宋_GB2312" w:cs="仿宋_GB2312"/>
          <w:color w:val="333333"/>
          <w:sz w:val="32"/>
          <w:szCs w:val="32"/>
          <w:shd w:val="clear" w:color="auto" w:fill="FFFFFF"/>
        </w:rPr>
        <w:t>0余项。</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紧跟时代步伐，强化技能训练。学校各专业均制定有与专业技术职业资格等级要求相匹配的专业理论教学和实训教学标准，按典型工作任务分项目循序渐进集中时间组织学习和实训，充分利用多媒体、仿真教学软件等现代教育手段增强学生理论学习的直观性，在实训前要求学生熟悉每一个实训项目的实训流程、明确每一步骤的要求，技术标准，在实训操练中严格遵循项目实训流程按规范反复训练，对学生实训前的准备、实训操作过程、实训作品进行认真评价，学校对学生技能考核与鉴定引入社会化评价机制，从命题监考到等级确定全部交给外聘技能等级鉴定考评员实施。把学生职业资格考试、职业技能等级考试纳入学生毕业学分管理，把学生专业对口就业率、就业稳定率纳入专业部教师的绩效考核，这样教师有压力学生没退路，在师生中形成了人人崇尚技能，人人重视技能训练的良好氛围。学校强技能培训的系列举措，真正为学生步入社会树立起手中有技能，就业有信心，生活得尊严，工作得体面的成功感和自豪感。</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4）校企对接，文化引领。学校大力推行“工学结合、工学交替”的人才培养模式，重视校企业合作工作，努力实现学校与企业的无缝对接、学习过程与生产过程的有机融合。创新工学结合模式，彰显职教活力。学校与企业实行“订单”培养，把企业标准和规范有效地植入教学内容，实现人才培养的“规格”与企业需求的“口径”一致。学校积极从企业的实际工作要求出发，制订实验实训工作纪律、管理制度、操作流程、安全和卫生管理规范等，努力营造真实的企业氛围。</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1.以京津冀区域为中心，推进与县外知名企业合作</w:t>
      </w: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继北京戴姆勒汽车有限公司、全国人大会议中心、空军鹰正招待所合作办学后，与苏州工达服务外包有限公司、合众人（北京）商务有限公司、北京雅宝洁物业管理中心达成</w:t>
      </w:r>
      <w:r>
        <w:rPr>
          <w:rFonts w:hint="eastAsia" w:ascii="仿宋" w:hAnsi="仿宋" w:eastAsia="仿宋"/>
          <w:sz w:val="32"/>
          <w:szCs w:val="32"/>
          <w:lang w:val="en-US" w:eastAsia="zh-CN"/>
        </w:rPr>
        <w:t>新的</w:t>
      </w:r>
      <w:r>
        <w:rPr>
          <w:rFonts w:hint="eastAsia" w:ascii="仿宋" w:hAnsi="仿宋" w:eastAsia="仿宋"/>
          <w:sz w:val="32"/>
          <w:szCs w:val="32"/>
        </w:rPr>
        <w:t>合作协议，</w:t>
      </w:r>
      <w:r>
        <w:rPr>
          <w:rFonts w:hint="eastAsia" w:ascii="仿宋" w:hAnsi="仿宋" w:eastAsia="仿宋"/>
          <w:sz w:val="32"/>
          <w:szCs w:val="32"/>
          <w:lang w:val="en-US" w:eastAsia="zh-CN"/>
        </w:rPr>
        <w:t>为现代服务专业、电商专业提供了实习就业新平台，县外</w:t>
      </w:r>
      <w:r>
        <w:rPr>
          <w:rFonts w:hint="eastAsia" w:ascii="仿宋" w:hAnsi="仿宋" w:eastAsia="仿宋"/>
          <w:sz w:val="32"/>
          <w:szCs w:val="32"/>
        </w:rPr>
        <w:t>合作企业达到6家</w:t>
      </w:r>
      <w:r>
        <w:rPr>
          <w:rFonts w:hint="eastAsia" w:ascii="仿宋" w:hAnsi="仿宋" w:eastAsia="仿宋"/>
          <w:sz w:val="32"/>
          <w:szCs w:val="32"/>
          <w:lang w:eastAsia="zh-CN"/>
        </w:rPr>
        <w:t>，</w:t>
      </w:r>
      <w:r>
        <w:rPr>
          <w:rFonts w:hint="eastAsia" w:ascii="仿宋" w:hAnsi="仿宋" w:eastAsia="仿宋"/>
          <w:sz w:val="32"/>
          <w:szCs w:val="32"/>
        </w:rPr>
        <w:t>目前累计162名学生在上述企业顶岗实习。</w:t>
      </w:r>
    </w:p>
    <w:p>
      <w:pPr>
        <w:ind w:left="420" w:leftChars="200"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2.以学校基地为突破口，开展与县内中小企业合作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以“宽城创新创业基地”为平台、积极开展“工学结合”教育模式。该基地与宽城新世纪广告装饰工程有限公司、大槐树农村电商河北宽城电子商务有限公司、宽城步步高家电公司、承德宏达盛业商贸有限公司合作签约，实现了学生与企业直接对接，感受企业文化，锻炼技术技能。在企业技术人员的指导下，锻炼生存技能，并可直接就业。</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3.以县域经济发展为契机，加强与县内新兴企业合作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承德花溪城生态旅游发展有限公司是学县今年全力打造“满水、满山、满秀、满漂、满镇”五大精品支撑板块的康养文化体验园。值此契机，学校与企业达成共识，在旅游服务、“满秀”演员培养等方面建立了合作关系，现有1</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级相关专业学生</w:t>
      </w:r>
      <w:r>
        <w:rPr>
          <w:rFonts w:hint="eastAsia" w:ascii="仿宋_GB2312" w:hAnsi="仿宋_GB2312" w:eastAsia="仿宋_GB2312" w:cs="仿宋_GB2312"/>
          <w:sz w:val="32"/>
          <w:szCs w:val="32"/>
          <w:lang w:val="en-US" w:eastAsia="zh-CN"/>
        </w:rPr>
        <w:t>35</w:t>
      </w:r>
      <w:r>
        <w:rPr>
          <w:rFonts w:hint="eastAsia" w:ascii="仿宋_GB2312" w:hAnsi="仿宋_GB2312" w:eastAsia="仿宋_GB2312" w:cs="仿宋_GB2312"/>
          <w:sz w:val="32"/>
          <w:szCs w:val="32"/>
        </w:rPr>
        <w:t>人在这里顶岗实习。</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 xml:space="preserve">通过多种形式的工学结合，创新了人才培养模式，努力做到生产教学化、教学生产化和学生员工化，培养学生的职业意识和职业能力，提高了学生综合素质。 </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3.2.6信息化教学</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教师都能运用信息化手段开展教学，学校所有机房都安装多媒体教学系统，每学期每位老师都要向学校网站上传本学期质量好的教学课件；每周三下午七、八节课网络机房对教师开放。教师教育技术职业能力考核通过率达95%以上。</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3.2.7实训基地</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学校基地建设稳步实施。2016年，建成1000多平米的创新创业基地，总投入资金200余万元，使用面积950平方米，共设有电子商务、广告设计与制作、电器维修操作、电子产品制作、技能培训等5个实训区，成为学生提高技能、展现自</w:t>
      </w:r>
      <w:r>
        <w:rPr>
          <w:rFonts w:hint="eastAsia" w:ascii="仿宋_GB2312" w:hAnsi="仿宋_GB2312" w:eastAsia="仿宋_GB2312" w:cs="仿宋_GB2312"/>
          <w:sz w:val="32"/>
          <w:szCs w:val="32"/>
          <w:lang w:val="en-US" w:eastAsia="zh-CN"/>
        </w:rPr>
        <w:t>我</w:t>
      </w:r>
      <w:r>
        <w:rPr>
          <w:rFonts w:hint="eastAsia" w:ascii="仿宋_GB2312" w:hAnsi="仿宋_GB2312" w:eastAsia="仿宋_GB2312" w:cs="仿宋_GB2312"/>
          <w:sz w:val="32"/>
          <w:szCs w:val="32"/>
        </w:rPr>
        <w:t xml:space="preserve">、融入社会的良好平台。   </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2017年筹建“宽城职教中心特种行业、加工制造及自动温控温室基地”项目，该项目占地面积356</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68</w:t>
      </w:r>
      <w:r>
        <w:rPr>
          <w:rFonts w:hint="eastAsia" w:ascii="仿宋_GB2312" w:hAnsi="仿宋_GB2312" w:eastAsia="仿宋_GB2312" w:cs="仿宋_GB2312"/>
          <w:sz w:val="32"/>
          <w:szCs w:val="32"/>
        </w:rPr>
        <w:t>平方米，建筑面积2882.34平方米，建设投资计划650万元。该基地含自动温控温室大棚一座，特种行业（加工制造）考试中心一栋。项目建设周期为19个月，</w:t>
      </w:r>
      <w:r>
        <w:rPr>
          <w:rFonts w:hint="eastAsia" w:ascii="仿宋_GB2312" w:hAnsi="仿宋_GB2312" w:eastAsia="仿宋_GB2312" w:cs="仿宋_GB2312"/>
          <w:sz w:val="32"/>
          <w:szCs w:val="32"/>
          <w:lang w:val="en-US" w:eastAsia="zh-CN"/>
        </w:rPr>
        <w:t>现已基本竣工</w:t>
      </w:r>
      <w:r>
        <w:rPr>
          <w:rFonts w:hint="eastAsia" w:ascii="仿宋_GB2312" w:hAnsi="仿宋_GB2312" w:eastAsia="仿宋_GB2312" w:cs="仿宋_GB2312"/>
          <w:sz w:val="32"/>
          <w:szCs w:val="32"/>
        </w:rPr>
        <w:t>。与此同时，学校自筹资金190万元购置考试中心设备，</w:t>
      </w:r>
      <w:r>
        <w:rPr>
          <w:rFonts w:hint="eastAsia" w:ascii="仿宋_GB2312" w:hAnsi="仿宋_GB2312" w:eastAsia="仿宋_GB2312" w:cs="仿宋_GB2312"/>
          <w:sz w:val="32"/>
          <w:szCs w:val="32"/>
          <w:lang w:val="en-US" w:eastAsia="zh-CN"/>
        </w:rPr>
        <w:t>现已正在安装调试</w:t>
      </w:r>
      <w:r>
        <w:rPr>
          <w:rFonts w:hint="eastAsia" w:ascii="仿宋_GB2312" w:hAnsi="仿宋_GB2312" w:eastAsia="仿宋_GB2312" w:cs="仿宋_GB2312"/>
          <w:sz w:val="32"/>
          <w:szCs w:val="32"/>
        </w:rPr>
        <w:t>。“宽城职教中心特种行业、加工制造及自动温控温室基地”建设项目，为机电、农林等专业提供社会实践平台，增强了学校服务社会的基础实力，为学生提供了更为广阔的实习实训场所，为培养社会需要的技能型人才奠定基础。</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drawing>
          <wp:inline distT="0" distB="0" distL="114300" distR="114300">
            <wp:extent cx="5915025" cy="3018790"/>
            <wp:effectExtent l="0" t="0" r="9525" b="10160"/>
            <wp:docPr id="45" name="图片 45"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nitpintu_副本"/>
                    <pic:cNvPicPr>
                      <a:picLocks noChangeAspect="1"/>
                    </pic:cNvPicPr>
                  </pic:nvPicPr>
                  <pic:blipFill>
                    <a:blip r:embed="rId31" cstate="print"/>
                    <a:stretch>
                      <a:fillRect/>
                    </a:stretch>
                  </pic:blipFill>
                  <pic:spPr>
                    <a:xfrm>
                      <a:off x="0" y="0"/>
                      <a:ext cx="5915025" cy="3018790"/>
                    </a:xfrm>
                    <a:prstGeom prst="rect">
                      <a:avLst/>
                    </a:prstGeom>
                  </pic:spPr>
                </pic:pic>
              </a:graphicData>
            </a:graphic>
          </wp:inline>
        </w:drawing>
      </w:r>
    </w:p>
    <w:p>
      <w:pPr>
        <w:jc w:val="center"/>
        <w:rPr>
          <w:rFonts w:ascii="华文新魏" w:hAnsi="华文新魏" w:eastAsia="华文新魏" w:cs="华文新魏"/>
          <w:color w:val="333333"/>
          <w:sz w:val="32"/>
          <w:szCs w:val="32"/>
          <w:shd w:val="clear" w:color="auto" w:fill="FFFFFF"/>
        </w:rPr>
      </w:pPr>
      <w:r>
        <w:rPr>
          <w:rFonts w:hint="eastAsia" w:ascii="华文新魏" w:hAnsi="华文新魏" w:eastAsia="华文新魏" w:cs="华文新魏"/>
          <w:color w:val="333333"/>
          <w:sz w:val="32"/>
          <w:szCs w:val="32"/>
          <w:shd w:val="clear" w:color="auto" w:fill="FFFFFF"/>
        </w:rPr>
        <w:t>宽城创新创业基地</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3.2.8教学资源建设</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 xml:space="preserve">   </w:t>
      </w:r>
      <w:r>
        <w:rPr>
          <w:rFonts w:hint="eastAsia" w:ascii="仿宋_GB2312" w:hAnsi="仿宋_GB2312" w:eastAsia="仿宋_GB2312" w:cs="仿宋_GB2312"/>
          <w:sz w:val="32"/>
          <w:szCs w:val="32"/>
        </w:rPr>
        <w:t>学校重视教学资源建设，为课堂教学提供资源支撑。在教学网络系统建设、教师素质提升、教学手段更新等诸多方面加大投资力度，为专业教学精准性提供技术支撑、资源保障。</w:t>
      </w:r>
    </w:p>
    <w:p>
      <w:pPr>
        <w:rPr>
          <w:rFonts w:ascii="仿宋_GB2312" w:hAnsi="仿宋_GB2312" w:eastAsia="仿宋_GB2312" w:cs="仿宋_GB2312"/>
          <w:color w:val="333333"/>
          <w:szCs w:val="21"/>
          <w:shd w:val="clear" w:color="auto" w:fill="FFFFFF"/>
        </w:rPr>
      </w:pPr>
    </w:p>
    <w:p>
      <w:pPr>
        <w:rPr>
          <w:rFonts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表15                        教学资源建设情况统计</w:t>
      </w:r>
    </w:p>
    <w:tbl>
      <w:tblPr>
        <w:tblStyle w:val="11"/>
        <w:tblW w:w="9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9"/>
        <w:gridCol w:w="3041"/>
        <w:gridCol w:w="3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exact"/>
        </w:trPr>
        <w:tc>
          <w:tcPr>
            <w:tcW w:w="3039" w:type="dxa"/>
            <w:shd w:val="clear" w:color="auto" w:fill="00B0F0"/>
            <w:vAlign w:val="center"/>
          </w:tcPr>
          <w:p>
            <w:pPr>
              <w:jc w:val="center"/>
              <w:rPr>
                <w:rFonts w:ascii="仿宋" w:hAnsi="仿宋" w:eastAsia="仿宋" w:cs="仿宋_GB2312"/>
                <w:color w:val="00B0F0"/>
                <w:szCs w:val="21"/>
                <w:shd w:val="clear" w:color="auto" w:fill="FFFFFF"/>
              </w:rPr>
            </w:pPr>
            <w:r>
              <w:rPr>
                <w:rFonts w:hint="eastAsia" w:ascii="仿宋" w:hAnsi="仿宋" w:eastAsia="仿宋" w:cs="仿宋_GB2312"/>
                <w:color w:val="00B0F0"/>
                <w:szCs w:val="21"/>
                <w:shd w:val="clear" w:color="auto" w:fill="FFFFFF"/>
              </w:rPr>
              <w:t>类别</w:t>
            </w:r>
          </w:p>
        </w:tc>
        <w:tc>
          <w:tcPr>
            <w:tcW w:w="3041" w:type="dxa"/>
            <w:shd w:val="clear" w:color="auto" w:fill="00B0F0"/>
            <w:vAlign w:val="center"/>
          </w:tcPr>
          <w:p>
            <w:pPr>
              <w:jc w:val="center"/>
              <w:rPr>
                <w:rFonts w:hint="eastAsia" w:ascii="仿宋" w:hAnsi="仿宋" w:eastAsia="仿宋" w:cs="仿宋_GB2312"/>
                <w:color w:val="00B0F0"/>
                <w:szCs w:val="21"/>
                <w:shd w:val="clear" w:color="auto" w:fill="FFFFFF"/>
                <w:lang w:val="en-US" w:eastAsia="zh-CN"/>
              </w:rPr>
            </w:pPr>
            <w:r>
              <w:rPr>
                <w:rFonts w:hint="eastAsia" w:ascii="仿宋" w:hAnsi="仿宋" w:eastAsia="仿宋" w:cs="仿宋_GB2312"/>
                <w:color w:val="auto"/>
                <w:szCs w:val="21"/>
                <w:shd w:val="clear" w:color="auto" w:fill="FFFFFF"/>
                <w:lang w:val="en-US" w:eastAsia="zh-CN"/>
              </w:rPr>
              <w:t>文化</w:t>
            </w:r>
          </w:p>
        </w:tc>
        <w:tc>
          <w:tcPr>
            <w:tcW w:w="3040" w:type="dxa"/>
            <w:shd w:val="clear" w:color="auto" w:fill="00B0F0"/>
            <w:vAlign w:val="center"/>
          </w:tcPr>
          <w:p>
            <w:pPr>
              <w:jc w:val="center"/>
              <w:rPr>
                <w:rFonts w:ascii="仿宋" w:hAnsi="仿宋" w:eastAsia="仿宋" w:cs="仿宋_GB2312"/>
                <w:color w:val="00B0F0"/>
                <w:szCs w:val="21"/>
                <w:shd w:val="clear" w:color="auto" w:fill="FFFFFF"/>
              </w:rPr>
            </w:pPr>
            <w:r>
              <w:rPr>
                <w:rFonts w:hint="eastAsia" w:ascii="仿宋" w:hAnsi="仿宋" w:eastAsia="仿宋" w:cs="仿宋_GB2312"/>
                <w:color w:val="auto"/>
                <w:szCs w:val="21"/>
                <w:shd w:val="clear" w:color="auto" w:fill="FFFFFF"/>
              </w:rPr>
              <w:t>专</w:t>
            </w:r>
            <w:r>
              <w:rPr>
                <w:rFonts w:hint="eastAsia" w:ascii="仿宋" w:hAnsi="仿宋" w:eastAsia="仿宋" w:cs="仿宋_GB2312"/>
                <w:color w:val="auto"/>
                <w:szCs w:val="21"/>
                <w:shd w:val="clear" w:color="auto" w:fill="FFFFFF"/>
                <w:lang w:val="en-US" w:eastAsia="zh-CN"/>
              </w:rPr>
              <w:t>业</w:t>
            </w:r>
            <w:r>
              <w:rPr>
                <w:rFonts w:hint="eastAsia" w:ascii="仿宋" w:hAnsi="仿宋" w:eastAsia="仿宋" w:cs="仿宋_GB2312"/>
                <w:color w:val="00B0F0"/>
                <w:szCs w:val="21"/>
                <w:shd w:val="clear" w:color="auto" w:fill="FFFFFF"/>
                <w:lang w:val="en-US" w:eastAsia="zh-CN"/>
              </w:rPr>
              <w:t>1</w:t>
            </w:r>
            <w:r>
              <w:rPr>
                <w:rFonts w:hint="eastAsia" w:ascii="仿宋" w:hAnsi="仿宋" w:eastAsia="仿宋" w:cs="仿宋_GB2312"/>
                <w:color w:val="00B0F0"/>
                <w:szCs w:val="21"/>
                <w:shd w:val="clear" w:color="auto" w:fill="FFFFFF"/>
              </w:rPr>
              <w:t>业课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exact"/>
        </w:trPr>
        <w:tc>
          <w:tcPr>
            <w:tcW w:w="3039" w:type="dxa"/>
            <w:shd w:val="clear" w:color="auto" w:fill="92D050"/>
            <w:vAlign w:val="center"/>
          </w:tcPr>
          <w:p>
            <w:pPr>
              <w:jc w:val="center"/>
              <w:rPr>
                <w:rFonts w:ascii="仿宋" w:hAnsi="仿宋" w:eastAsia="仿宋" w:cs="仿宋_GB2312"/>
                <w:color w:val="333333"/>
                <w:szCs w:val="21"/>
                <w:shd w:val="clear" w:color="auto" w:fill="FFFFFF"/>
              </w:rPr>
            </w:pPr>
            <w:r>
              <w:rPr>
                <w:rFonts w:hint="eastAsia" w:ascii="仿宋" w:hAnsi="仿宋" w:eastAsia="仿宋" w:cs="仿宋_GB2312"/>
                <w:color w:val="333333"/>
                <w:szCs w:val="21"/>
                <w:shd w:val="clear" w:color="auto" w:fill="FFFFFF"/>
              </w:rPr>
              <w:t>优质课件</w:t>
            </w:r>
          </w:p>
        </w:tc>
        <w:tc>
          <w:tcPr>
            <w:tcW w:w="3041" w:type="dxa"/>
            <w:shd w:val="clear" w:color="auto" w:fill="92D050"/>
            <w:vAlign w:val="center"/>
          </w:tcPr>
          <w:p>
            <w:pPr>
              <w:jc w:val="center"/>
              <w:rPr>
                <w:rFonts w:hint="eastAsia" w:ascii="仿宋" w:hAnsi="仿宋" w:eastAsia="仿宋" w:cs="仿宋_GB2312"/>
                <w:color w:val="333333"/>
                <w:szCs w:val="21"/>
                <w:shd w:val="clear" w:color="auto" w:fill="FFFFFF"/>
                <w:lang w:val="en-US" w:eastAsia="zh-CN"/>
              </w:rPr>
            </w:pPr>
            <w:r>
              <w:rPr>
                <w:rFonts w:hint="eastAsia" w:ascii="仿宋" w:hAnsi="仿宋" w:eastAsia="仿宋" w:cs="仿宋_GB2312"/>
                <w:color w:val="333333"/>
                <w:szCs w:val="21"/>
                <w:shd w:val="clear" w:color="auto" w:fill="FFFFFF"/>
                <w:lang w:val="en-US" w:eastAsia="zh-CN"/>
              </w:rPr>
              <w:t>15</w:t>
            </w:r>
          </w:p>
        </w:tc>
        <w:tc>
          <w:tcPr>
            <w:tcW w:w="3040" w:type="dxa"/>
            <w:shd w:val="clear" w:color="auto" w:fill="92D050"/>
            <w:vAlign w:val="center"/>
          </w:tcPr>
          <w:p>
            <w:pPr>
              <w:jc w:val="center"/>
              <w:rPr>
                <w:rFonts w:ascii="仿宋" w:hAnsi="仿宋" w:eastAsia="仿宋" w:cs="仿宋_GB2312"/>
                <w:color w:val="333333"/>
                <w:szCs w:val="21"/>
                <w:shd w:val="clear" w:color="auto" w:fill="FFFFFF"/>
              </w:rPr>
            </w:pPr>
            <w:r>
              <w:rPr>
                <w:rFonts w:hint="eastAsia" w:ascii="仿宋" w:hAnsi="仿宋" w:eastAsia="仿宋" w:cs="仿宋_GB2312"/>
                <w:color w:val="333333"/>
                <w:szCs w:val="21"/>
                <w:shd w:val="clear" w:color="auto" w:fill="FFFFFF"/>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exact"/>
        </w:trPr>
        <w:tc>
          <w:tcPr>
            <w:tcW w:w="3039" w:type="dxa"/>
            <w:shd w:val="clear" w:color="auto" w:fill="92D050"/>
            <w:vAlign w:val="center"/>
          </w:tcPr>
          <w:p>
            <w:pPr>
              <w:jc w:val="center"/>
              <w:rPr>
                <w:rFonts w:ascii="仿宋" w:hAnsi="仿宋" w:eastAsia="仿宋" w:cs="仿宋_GB2312"/>
                <w:color w:val="333333"/>
                <w:szCs w:val="21"/>
                <w:shd w:val="clear" w:color="auto" w:fill="FFFFFF"/>
              </w:rPr>
            </w:pPr>
            <w:r>
              <w:rPr>
                <w:rFonts w:hint="eastAsia" w:ascii="仿宋" w:hAnsi="仿宋" w:eastAsia="仿宋" w:cs="仿宋_GB2312"/>
                <w:color w:val="333333"/>
                <w:szCs w:val="21"/>
                <w:shd w:val="clear" w:color="auto" w:fill="FFFFFF"/>
              </w:rPr>
              <w:t>课件</w:t>
            </w:r>
          </w:p>
        </w:tc>
        <w:tc>
          <w:tcPr>
            <w:tcW w:w="3041" w:type="dxa"/>
            <w:shd w:val="clear" w:color="auto" w:fill="92D050"/>
            <w:vAlign w:val="center"/>
          </w:tcPr>
          <w:p>
            <w:pPr>
              <w:jc w:val="center"/>
              <w:rPr>
                <w:rFonts w:hint="eastAsia" w:ascii="仿宋" w:hAnsi="仿宋" w:eastAsia="仿宋" w:cs="仿宋_GB2312"/>
                <w:color w:val="333333"/>
                <w:szCs w:val="21"/>
                <w:shd w:val="clear" w:color="auto" w:fill="FFFFFF"/>
                <w:lang w:val="en-US" w:eastAsia="zh-CN"/>
              </w:rPr>
            </w:pPr>
            <w:r>
              <w:rPr>
                <w:rFonts w:hint="eastAsia" w:ascii="仿宋" w:hAnsi="仿宋" w:eastAsia="仿宋" w:cs="仿宋_GB2312"/>
                <w:color w:val="333333"/>
                <w:szCs w:val="21"/>
                <w:shd w:val="clear" w:color="auto" w:fill="FFFFFF"/>
                <w:lang w:val="en-US" w:eastAsia="zh-CN"/>
              </w:rPr>
              <w:t>130</w:t>
            </w:r>
          </w:p>
        </w:tc>
        <w:tc>
          <w:tcPr>
            <w:tcW w:w="3040" w:type="dxa"/>
            <w:shd w:val="clear" w:color="auto" w:fill="92D050"/>
            <w:vAlign w:val="center"/>
          </w:tcPr>
          <w:p>
            <w:pPr>
              <w:jc w:val="center"/>
              <w:rPr>
                <w:rFonts w:ascii="仿宋" w:hAnsi="仿宋" w:eastAsia="仿宋" w:cs="仿宋_GB2312"/>
                <w:color w:val="333333"/>
                <w:szCs w:val="21"/>
                <w:shd w:val="clear" w:color="auto" w:fill="FFFFFF"/>
              </w:rPr>
            </w:pPr>
            <w:r>
              <w:rPr>
                <w:rFonts w:hint="eastAsia" w:ascii="仿宋" w:hAnsi="仿宋" w:eastAsia="仿宋" w:cs="仿宋_GB2312"/>
                <w:color w:val="333333"/>
                <w:szCs w:val="21"/>
                <w:shd w:val="clear" w:color="auto" w:fill="FFFFFF"/>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exact"/>
        </w:trPr>
        <w:tc>
          <w:tcPr>
            <w:tcW w:w="3039" w:type="dxa"/>
            <w:shd w:val="clear" w:color="auto" w:fill="92D050"/>
            <w:vAlign w:val="center"/>
          </w:tcPr>
          <w:p>
            <w:pPr>
              <w:jc w:val="center"/>
              <w:rPr>
                <w:rFonts w:ascii="仿宋" w:hAnsi="仿宋" w:eastAsia="仿宋" w:cs="仿宋_GB2312"/>
                <w:color w:val="333333"/>
                <w:szCs w:val="21"/>
                <w:shd w:val="clear" w:color="auto" w:fill="FFFFFF"/>
              </w:rPr>
            </w:pPr>
            <w:r>
              <w:rPr>
                <w:rFonts w:hint="eastAsia" w:ascii="仿宋" w:hAnsi="仿宋" w:eastAsia="仿宋" w:cs="仿宋_GB2312"/>
                <w:color w:val="333333"/>
                <w:szCs w:val="21"/>
                <w:shd w:val="clear" w:color="auto" w:fill="FFFFFF"/>
              </w:rPr>
              <w:t>学案</w:t>
            </w:r>
          </w:p>
        </w:tc>
        <w:tc>
          <w:tcPr>
            <w:tcW w:w="3041" w:type="dxa"/>
            <w:shd w:val="clear" w:color="auto" w:fill="92D050"/>
            <w:vAlign w:val="center"/>
          </w:tcPr>
          <w:p>
            <w:pPr>
              <w:jc w:val="center"/>
              <w:rPr>
                <w:rFonts w:hint="eastAsia" w:ascii="仿宋" w:hAnsi="仿宋" w:eastAsia="仿宋" w:cs="仿宋_GB2312"/>
                <w:color w:val="333333"/>
                <w:szCs w:val="21"/>
                <w:shd w:val="clear" w:color="auto" w:fill="FFFFFF"/>
                <w:lang w:val="en-US" w:eastAsia="zh-CN"/>
              </w:rPr>
            </w:pPr>
            <w:r>
              <w:rPr>
                <w:rFonts w:hint="eastAsia" w:ascii="仿宋" w:hAnsi="仿宋" w:eastAsia="仿宋" w:cs="仿宋_GB2312"/>
                <w:color w:val="333333"/>
                <w:szCs w:val="21"/>
                <w:shd w:val="clear" w:color="auto" w:fill="FFFFFF"/>
                <w:lang w:val="en-US" w:eastAsia="zh-CN"/>
              </w:rPr>
              <w:t>260</w:t>
            </w:r>
          </w:p>
        </w:tc>
        <w:tc>
          <w:tcPr>
            <w:tcW w:w="3040" w:type="dxa"/>
            <w:shd w:val="clear" w:color="auto" w:fill="92D050"/>
            <w:vAlign w:val="center"/>
          </w:tcPr>
          <w:p>
            <w:pPr>
              <w:jc w:val="center"/>
              <w:rPr>
                <w:rFonts w:ascii="仿宋" w:hAnsi="仿宋" w:eastAsia="仿宋" w:cs="仿宋_GB2312"/>
                <w:color w:val="333333"/>
                <w:szCs w:val="21"/>
                <w:shd w:val="clear" w:color="auto" w:fill="FFFFFF"/>
              </w:rPr>
            </w:pPr>
            <w:r>
              <w:rPr>
                <w:rFonts w:hint="eastAsia" w:ascii="仿宋" w:hAnsi="仿宋" w:eastAsia="仿宋" w:cs="仿宋_GB2312"/>
                <w:color w:val="333333"/>
                <w:szCs w:val="21"/>
                <w:shd w:val="clear" w:color="auto" w:fill="FFFFFF"/>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exact"/>
        </w:trPr>
        <w:tc>
          <w:tcPr>
            <w:tcW w:w="3039" w:type="dxa"/>
            <w:shd w:val="clear" w:color="auto" w:fill="92D050"/>
            <w:vAlign w:val="center"/>
          </w:tcPr>
          <w:p>
            <w:pPr>
              <w:jc w:val="center"/>
              <w:rPr>
                <w:rFonts w:ascii="仿宋" w:hAnsi="仿宋" w:eastAsia="仿宋" w:cs="仿宋_GB2312"/>
                <w:color w:val="333333"/>
                <w:szCs w:val="21"/>
                <w:shd w:val="clear" w:color="auto" w:fill="FFFFFF"/>
              </w:rPr>
            </w:pPr>
            <w:r>
              <w:rPr>
                <w:rFonts w:hint="eastAsia" w:ascii="仿宋" w:hAnsi="仿宋" w:eastAsia="仿宋" w:cs="仿宋_GB2312"/>
                <w:color w:val="333333"/>
                <w:szCs w:val="21"/>
                <w:shd w:val="clear" w:color="auto" w:fill="FFFFFF"/>
              </w:rPr>
              <w:t>练案</w:t>
            </w:r>
          </w:p>
        </w:tc>
        <w:tc>
          <w:tcPr>
            <w:tcW w:w="3041" w:type="dxa"/>
            <w:shd w:val="clear" w:color="auto" w:fill="92D050"/>
            <w:vAlign w:val="center"/>
          </w:tcPr>
          <w:p>
            <w:pPr>
              <w:jc w:val="center"/>
              <w:rPr>
                <w:rFonts w:hint="eastAsia" w:ascii="仿宋" w:hAnsi="仿宋" w:eastAsia="仿宋" w:cs="仿宋_GB2312"/>
                <w:color w:val="333333"/>
                <w:szCs w:val="21"/>
                <w:shd w:val="clear" w:color="auto" w:fill="FFFFFF"/>
                <w:lang w:val="en-US" w:eastAsia="zh-CN"/>
              </w:rPr>
            </w:pPr>
            <w:r>
              <w:rPr>
                <w:rFonts w:hint="eastAsia" w:ascii="仿宋" w:hAnsi="仿宋" w:eastAsia="仿宋" w:cs="仿宋_GB2312"/>
                <w:color w:val="333333"/>
                <w:szCs w:val="21"/>
                <w:shd w:val="clear" w:color="auto" w:fill="FFFFFF"/>
                <w:lang w:val="en-US" w:eastAsia="zh-CN"/>
              </w:rPr>
              <w:t>100</w:t>
            </w:r>
          </w:p>
        </w:tc>
        <w:tc>
          <w:tcPr>
            <w:tcW w:w="3040" w:type="dxa"/>
            <w:shd w:val="clear" w:color="auto" w:fill="92D050"/>
            <w:vAlign w:val="center"/>
          </w:tcPr>
          <w:p>
            <w:pPr>
              <w:jc w:val="center"/>
              <w:rPr>
                <w:rFonts w:ascii="仿宋" w:hAnsi="仿宋" w:eastAsia="仿宋" w:cs="仿宋_GB2312"/>
                <w:color w:val="333333"/>
                <w:szCs w:val="21"/>
                <w:shd w:val="clear" w:color="auto" w:fill="FFFFFF"/>
              </w:rPr>
            </w:pPr>
            <w:r>
              <w:rPr>
                <w:rFonts w:hint="eastAsia" w:ascii="仿宋" w:hAnsi="仿宋" w:eastAsia="仿宋" w:cs="仿宋_GB2312"/>
                <w:color w:val="333333"/>
                <w:szCs w:val="21"/>
                <w:shd w:val="clear" w:color="auto" w:fill="FFFFFF"/>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exact"/>
        </w:trPr>
        <w:tc>
          <w:tcPr>
            <w:tcW w:w="3039" w:type="dxa"/>
            <w:shd w:val="clear" w:color="auto" w:fill="92D050"/>
            <w:vAlign w:val="center"/>
          </w:tcPr>
          <w:p>
            <w:pPr>
              <w:jc w:val="center"/>
              <w:rPr>
                <w:rFonts w:ascii="仿宋" w:hAnsi="仿宋" w:eastAsia="仿宋" w:cs="仿宋_GB2312"/>
                <w:color w:val="333333"/>
                <w:szCs w:val="21"/>
                <w:shd w:val="clear" w:color="auto" w:fill="FFFFFF"/>
              </w:rPr>
            </w:pPr>
            <w:r>
              <w:rPr>
                <w:rFonts w:hint="eastAsia" w:ascii="仿宋" w:hAnsi="仿宋" w:eastAsia="仿宋" w:cs="仿宋_GB2312"/>
                <w:color w:val="333333"/>
                <w:szCs w:val="21"/>
                <w:shd w:val="clear" w:color="auto" w:fill="FFFFFF"/>
              </w:rPr>
              <w:t>试题（套）</w:t>
            </w:r>
          </w:p>
        </w:tc>
        <w:tc>
          <w:tcPr>
            <w:tcW w:w="3041" w:type="dxa"/>
            <w:shd w:val="clear" w:color="auto" w:fill="92D050"/>
            <w:vAlign w:val="center"/>
          </w:tcPr>
          <w:p>
            <w:pPr>
              <w:jc w:val="center"/>
              <w:rPr>
                <w:rFonts w:hint="eastAsia" w:ascii="仿宋" w:hAnsi="仿宋" w:eastAsia="仿宋" w:cs="仿宋_GB2312"/>
                <w:color w:val="333333"/>
                <w:szCs w:val="21"/>
                <w:shd w:val="clear" w:color="auto" w:fill="FFFFFF"/>
                <w:lang w:val="en-US" w:eastAsia="zh-CN"/>
              </w:rPr>
            </w:pPr>
            <w:r>
              <w:rPr>
                <w:rFonts w:hint="eastAsia" w:ascii="仿宋" w:hAnsi="仿宋" w:eastAsia="仿宋" w:cs="仿宋_GB2312"/>
                <w:color w:val="333333"/>
                <w:szCs w:val="21"/>
                <w:shd w:val="clear" w:color="auto" w:fill="FFFFFF"/>
                <w:lang w:val="en-US" w:eastAsia="zh-CN"/>
              </w:rPr>
              <w:t>96</w:t>
            </w:r>
          </w:p>
        </w:tc>
        <w:tc>
          <w:tcPr>
            <w:tcW w:w="3040" w:type="dxa"/>
            <w:shd w:val="clear" w:color="auto" w:fill="92D050"/>
            <w:vAlign w:val="center"/>
          </w:tcPr>
          <w:p>
            <w:pPr>
              <w:jc w:val="center"/>
              <w:rPr>
                <w:rFonts w:ascii="仿宋" w:hAnsi="仿宋" w:eastAsia="仿宋" w:cs="仿宋_GB2312"/>
                <w:color w:val="333333"/>
                <w:szCs w:val="21"/>
                <w:shd w:val="clear" w:color="auto" w:fill="FFFFFF"/>
              </w:rPr>
            </w:pPr>
            <w:r>
              <w:rPr>
                <w:rFonts w:hint="eastAsia" w:ascii="仿宋" w:hAnsi="仿宋" w:eastAsia="仿宋" w:cs="仿宋_GB2312"/>
                <w:color w:val="333333"/>
                <w:szCs w:val="21"/>
                <w:shd w:val="clear" w:color="auto" w:fill="FFFFFF"/>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trPr>
        <w:tc>
          <w:tcPr>
            <w:tcW w:w="3039" w:type="dxa"/>
            <w:shd w:val="clear" w:color="auto" w:fill="92D050"/>
            <w:vAlign w:val="center"/>
          </w:tcPr>
          <w:p>
            <w:pPr>
              <w:jc w:val="center"/>
              <w:rPr>
                <w:rFonts w:ascii="仿宋" w:hAnsi="仿宋" w:eastAsia="仿宋" w:cs="仿宋_GB2312"/>
                <w:color w:val="333333"/>
                <w:szCs w:val="21"/>
                <w:shd w:val="clear" w:color="auto" w:fill="FFFFFF"/>
              </w:rPr>
            </w:pPr>
            <w:r>
              <w:rPr>
                <w:rFonts w:hint="eastAsia" w:ascii="仿宋" w:hAnsi="仿宋" w:eastAsia="仿宋" w:cs="仿宋_GB2312"/>
                <w:color w:val="333333"/>
                <w:szCs w:val="21"/>
                <w:shd w:val="clear" w:color="auto" w:fill="FFFFFF"/>
              </w:rPr>
              <w:t>教学软件（套）</w:t>
            </w:r>
          </w:p>
        </w:tc>
        <w:tc>
          <w:tcPr>
            <w:tcW w:w="3041" w:type="dxa"/>
            <w:shd w:val="clear" w:color="auto" w:fill="92D050"/>
            <w:vAlign w:val="center"/>
          </w:tcPr>
          <w:p>
            <w:pPr>
              <w:jc w:val="center"/>
              <w:rPr>
                <w:rFonts w:hint="eastAsia" w:ascii="仿宋" w:hAnsi="仿宋" w:eastAsia="仿宋" w:cs="仿宋_GB2312"/>
                <w:color w:val="333333"/>
                <w:szCs w:val="21"/>
                <w:shd w:val="clear" w:color="auto" w:fill="FFFFFF"/>
                <w:lang w:eastAsia="zh-CN"/>
              </w:rPr>
            </w:pPr>
            <w:r>
              <w:rPr>
                <w:rFonts w:hint="eastAsia" w:ascii="仿宋" w:hAnsi="仿宋" w:eastAsia="仿宋" w:cs="仿宋_GB2312"/>
                <w:color w:val="333333"/>
                <w:szCs w:val="21"/>
                <w:shd w:val="clear" w:color="auto" w:fill="FFFFFF"/>
                <w:lang w:val="en-US" w:eastAsia="zh-CN"/>
              </w:rPr>
              <w:t>7</w:t>
            </w:r>
          </w:p>
        </w:tc>
        <w:tc>
          <w:tcPr>
            <w:tcW w:w="3040" w:type="dxa"/>
            <w:shd w:val="clear" w:color="auto" w:fill="92D050"/>
            <w:vAlign w:val="center"/>
          </w:tcPr>
          <w:p>
            <w:pPr>
              <w:jc w:val="center"/>
              <w:rPr>
                <w:rFonts w:ascii="仿宋" w:hAnsi="仿宋" w:eastAsia="仿宋" w:cs="仿宋_GB2312"/>
                <w:color w:val="333333"/>
                <w:szCs w:val="21"/>
                <w:shd w:val="clear" w:color="auto" w:fill="FFFFFF"/>
              </w:rPr>
            </w:pPr>
            <w:r>
              <w:rPr>
                <w:rFonts w:hint="eastAsia" w:ascii="仿宋" w:hAnsi="仿宋" w:eastAsia="仿宋" w:cs="仿宋_GB2312"/>
                <w:color w:val="333333"/>
                <w:szCs w:val="21"/>
                <w:shd w:val="clear" w:color="auto" w:fill="FFFFFF"/>
              </w:rPr>
              <w:t>5</w:t>
            </w:r>
          </w:p>
        </w:tc>
      </w:tr>
    </w:tbl>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3.2.9教材选用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学校严格按省、市教育行政部门的相关规定和河北省重点推荐中职教育教学用书目录的规定选用和征订学校教材。如语文、数学一律选用高等教育出版社出版的教材，英语选用语文出版社出版的教材。</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3.3教师培养培训。</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3.3.1教师培养培训情况。</w:t>
      </w:r>
    </w:p>
    <w:p>
      <w:pPr>
        <w:ind w:firstLine="707" w:firstLineChars="221"/>
        <w:rPr>
          <w:rFonts w:ascii="仿宋_GB2312" w:hAnsi="仿宋_GB2312" w:eastAsia="仿宋_GB2312" w:cs="仿宋_GB2312"/>
          <w:sz w:val="32"/>
          <w:szCs w:val="32"/>
        </w:rPr>
      </w:pPr>
      <w:r>
        <w:rPr>
          <w:rFonts w:hint="eastAsia" w:ascii="仿宋_GB2312" w:hAnsi="Times New Roman" w:eastAsia="仿宋_GB2312"/>
          <w:sz w:val="32"/>
          <w:szCs w:val="32"/>
        </w:rPr>
        <w:t>加强教师校本培训，组织教师参加满语和传统文化培训，组织派出国家级专业带头领军能力研修培训2人，国家级双师型教师专业技能培训1人，其他国家级培训1人；省级专业教师科研方法与能力培训5人，其他省级培训2人；县级培训1人。通过各级各类培训，教师的专业水平明显提高。</w:t>
      </w:r>
    </w:p>
    <w:p>
      <w:pPr>
        <w:rPr>
          <w:rFonts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表16</w:t>
      </w:r>
    </w:p>
    <w:tbl>
      <w:tblPr>
        <w:tblStyle w:val="10"/>
        <w:tblW w:w="9040" w:type="dxa"/>
        <w:tblInd w:w="-5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100"/>
        <w:gridCol w:w="2128"/>
        <w:gridCol w:w="2273"/>
        <w:gridCol w:w="1383"/>
        <w:gridCol w:w="11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2" w:hRule="atLeast"/>
        </w:trPr>
        <w:tc>
          <w:tcPr>
            <w:tcW w:w="9040" w:type="dxa"/>
            <w:gridSpan w:val="5"/>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rPr>
                <w:rFonts w:hint="eastAsia"/>
                <w:color w:val="auto"/>
              </w:rPr>
            </w:pPr>
            <w:r>
              <w:rPr>
                <w:rFonts w:hint="eastAsia"/>
                <w:color w:val="auto"/>
                <w:lang w:val="en-US" w:eastAsia="zh-CN"/>
              </w:rPr>
              <w:t>2017-2018外出培训人员变化情况表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7" w:hRule="atLeast"/>
        </w:trPr>
        <w:tc>
          <w:tcPr>
            <w:tcW w:w="2100" w:type="dxa"/>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rPr>
                <w:rFonts w:hint="eastAsia"/>
                <w:color w:val="auto"/>
              </w:rPr>
            </w:pPr>
            <w:r>
              <w:rPr>
                <w:rFonts w:hint="eastAsia"/>
                <w:color w:val="auto"/>
                <w:lang w:val="en-US" w:eastAsia="zh-CN"/>
              </w:rPr>
              <w:t>年份</w:t>
            </w:r>
          </w:p>
        </w:tc>
        <w:tc>
          <w:tcPr>
            <w:tcW w:w="2128" w:type="dxa"/>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rPr>
                <w:rFonts w:hint="eastAsia"/>
                <w:color w:val="auto"/>
              </w:rPr>
            </w:pPr>
            <w:r>
              <w:rPr>
                <w:rFonts w:hint="eastAsia"/>
                <w:color w:val="auto"/>
                <w:lang w:val="en-US" w:eastAsia="zh-CN"/>
              </w:rPr>
              <w:t>县级培训</w:t>
            </w:r>
          </w:p>
        </w:tc>
        <w:tc>
          <w:tcPr>
            <w:tcW w:w="2273" w:type="dxa"/>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rPr>
                <w:rFonts w:hint="eastAsia"/>
                <w:color w:val="auto"/>
              </w:rPr>
            </w:pPr>
            <w:r>
              <w:rPr>
                <w:rFonts w:hint="eastAsia"/>
                <w:color w:val="auto"/>
                <w:lang w:val="en-US" w:eastAsia="zh-CN"/>
              </w:rPr>
              <w:t>市级培训</w:t>
            </w:r>
          </w:p>
        </w:tc>
        <w:tc>
          <w:tcPr>
            <w:tcW w:w="1383" w:type="dxa"/>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rPr>
                <w:rFonts w:hint="eastAsia"/>
                <w:color w:val="auto"/>
              </w:rPr>
            </w:pPr>
            <w:r>
              <w:rPr>
                <w:rFonts w:hint="eastAsia"/>
                <w:color w:val="auto"/>
                <w:lang w:val="en-US" w:eastAsia="zh-CN"/>
              </w:rPr>
              <w:t>省级培训</w:t>
            </w:r>
          </w:p>
        </w:tc>
        <w:tc>
          <w:tcPr>
            <w:tcW w:w="1156" w:type="dxa"/>
            <w:tcBorders>
              <w:top w:val="single" w:color="000000" w:sz="4" w:space="0"/>
              <w:left w:val="single" w:color="000000" w:sz="4" w:space="0"/>
              <w:bottom w:val="single" w:color="000000" w:sz="4" w:space="0"/>
              <w:right w:val="single" w:color="000000" w:sz="4" w:space="0"/>
            </w:tcBorders>
            <w:shd w:val="clear" w:color="auto" w:fill="00B0F0"/>
            <w:vAlign w:val="center"/>
          </w:tcPr>
          <w:p>
            <w:pPr>
              <w:jc w:val="center"/>
              <w:rPr>
                <w:rFonts w:hint="eastAsia"/>
                <w:color w:val="auto"/>
              </w:rPr>
            </w:pPr>
            <w:r>
              <w:rPr>
                <w:rFonts w:hint="eastAsia"/>
                <w:color w:val="auto"/>
                <w:lang w:val="en-US" w:eastAsia="zh-CN"/>
              </w:rPr>
              <w:t>国家级培训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07" w:hRule="atLeast"/>
        </w:trPr>
        <w:tc>
          <w:tcPr>
            <w:tcW w:w="21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rPr>
            </w:pPr>
            <w:r>
              <w:rPr>
                <w:rFonts w:hint="eastAsia"/>
                <w:lang w:val="en-US" w:eastAsia="zh-CN"/>
              </w:rPr>
              <w:t>2017</w:t>
            </w:r>
          </w:p>
        </w:tc>
        <w:tc>
          <w:tcPr>
            <w:tcW w:w="2128"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rPr>
            </w:pPr>
            <w:r>
              <w:rPr>
                <w:rFonts w:hint="eastAsia"/>
                <w:lang w:val="en-US" w:eastAsia="zh-CN"/>
              </w:rPr>
              <w:t>0</w:t>
            </w:r>
          </w:p>
        </w:tc>
        <w:tc>
          <w:tcPr>
            <w:tcW w:w="2273"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rPr>
            </w:pPr>
            <w:r>
              <w:rPr>
                <w:rFonts w:hint="eastAsia"/>
                <w:lang w:val="en-US" w:eastAsia="zh-CN"/>
              </w:rPr>
              <w:t>5</w:t>
            </w:r>
          </w:p>
        </w:tc>
        <w:tc>
          <w:tcPr>
            <w:tcW w:w="1383"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rPr>
            </w:pPr>
            <w:r>
              <w:rPr>
                <w:rFonts w:hint="eastAsia"/>
                <w:lang w:val="en-US" w:eastAsia="zh-CN"/>
              </w:rPr>
              <w:t>45</w:t>
            </w:r>
          </w:p>
        </w:tc>
        <w:tc>
          <w:tcPr>
            <w:tcW w:w="1156"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rPr>
            </w:pPr>
            <w:r>
              <w:rPr>
                <w:rFonts w:hint="eastAsia"/>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00" w:hRule="atLeast"/>
        </w:trPr>
        <w:tc>
          <w:tcPr>
            <w:tcW w:w="21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rPr>
            </w:pPr>
            <w:r>
              <w:rPr>
                <w:rFonts w:hint="eastAsia"/>
                <w:lang w:val="en-US" w:eastAsia="zh-CN"/>
              </w:rPr>
              <w:t>2018</w:t>
            </w:r>
          </w:p>
        </w:tc>
        <w:tc>
          <w:tcPr>
            <w:tcW w:w="2128"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rPr>
            </w:pPr>
            <w:r>
              <w:rPr>
                <w:rFonts w:hint="eastAsia"/>
                <w:lang w:val="en-US" w:eastAsia="zh-CN"/>
              </w:rPr>
              <w:t>1</w:t>
            </w:r>
          </w:p>
        </w:tc>
        <w:tc>
          <w:tcPr>
            <w:tcW w:w="2273"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rPr>
            </w:pPr>
            <w:r>
              <w:rPr>
                <w:rFonts w:hint="eastAsia"/>
                <w:lang w:val="en-US" w:eastAsia="zh-CN"/>
              </w:rPr>
              <w:t>0</w:t>
            </w:r>
          </w:p>
        </w:tc>
        <w:tc>
          <w:tcPr>
            <w:tcW w:w="1383"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rPr>
            </w:pPr>
            <w:r>
              <w:rPr>
                <w:rFonts w:hint="eastAsia"/>
                <w:lang w:val="en-US" w:eastAsia="zh-CN"/>
              </w:rPr>
              <w:t>7</w:t>
            </w:r>
          </w:p>
        </w:tc>
        <w:tc>
          <w:tcPr>
            <w:tcW w:w="1156"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rPr>
            </w:pPr>
            <w:r>
              <w:rPr>
                <w:rFonts w:hint="eastAsia"/>
                <w:lang w:val="en-US" w:eastAsia="zh-CN"/>
              </w:rPr>
              <w:t>4</w:t>
            </w:r>
          </w:p>
        </w:tc>
      </w:tr>
    </w:tbl>
    <w:p/>
    <w:p>
      <w:r>
        <w:drawing>
          <wp:inline distT="0" distB="0" distL="114300" distR="114300">
            <wp:extent cx="5730240" cy="2807970"/>
            <wp:effectExtent l="4445" t="4445" r="18415" b="6985"/>
            <wp:docPr id="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tbl>
      <w:tblPr>
        <w:tblStyle w:val="10"/>
        <w:tblW w:w="948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27"/>
        <w:gridCol w:w="787"/>
        <w:gridCol w:w="1373"/>
        <w:gridCol w:w="550"/>
        <w:gridCol w:w="2250"/>
        <w:gridCol w:w="937"/>
        <w:gridCol w:w="2675"/>
        <w:gridCol w:w="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00" w:hRule="atLeast"/>
        </w:trPr>
        <w:tc>
          <w:tcPr>
            <w:tcW w:w="9487" w:type="dxa"/>
            <w:gridSpan w:val="8"/>
            <w:tcBorders>
              <w:top w:val="single" w:color="000000" w:sz="4" w:space="0"/>
              <w:left w:val="single" w:color="000000" w:sz="4" w:space="0"/>
              <w:bottom w:val="single" w:color="000000" w:sz="4" w:space="0"/>
              <w:right w:val="single" w:color="000000" w:sz="4" w:space="0"/>
            </w:tcBorders>
            <w:shd w:val="clear" w:color="auto" w:fill="8EAADB" w:themeFill="accent5" w:themeFillTint="99"/>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2018年教师外出培训情况统计表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06" w:hRule="atLeast"/>
        </w:trPr>
        <w:tc>
          <w:tcPr>
            <w:tcW w:w="427" w:type="dxa"/>
            <w:tcBorders>
              <w:top w:val="single" w:color="000000" w:sz="4" w:space="0"/>
              <w:left w:val="single" w:color="000000" w:sz="4" w:space="0"/>
              <w:bottom w:val="single" w:color="000000" w:sz="4" w:space="0"/>
              <w:right w:val="single" w:color="000000" w:sz="4" w:space="0"/>
            </w:tcBorders>
            <w:shd w:val="clear" w:color="auto" w:fill="8EAADB" w:themeFill="accent5" w:themeFillTint="99"/>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787" w:type="dxa"/>
            <w:tcBorders>
              <w:top w:val="single" w:color="000000" w:sz="4" w:space="0"/>
              <w:left w:val="single" w:color="000000" w:sz="4" w:space="0"/>
              <w:bottom w:val="single" w:color="000000" w:sz="4" w:space="0"/>
              <w:right w:val="single" w:color="000000" w:sz="4" w:space="0"/>
            </w:tcBorders>
            <w:shd w:val="clear" w:color="auto" w:fill="8EAADB" w:themeFill="accent5" w:themeFillTint="99"/>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姓名</w:t>
            </w:r>
          </w:p>
        </w:tc>
        <w:tc>
          <w:tcPr>
            <w:tcW w:w="1373" w:type="dxa"/>
            <w:tcBorders>
              <w:top w:val="single" w:color="000000" w:sz="4" w:space="0"/>
              <w:left w:val="single" w:color="000000" w:sz="4" w:space="0"/>
              <w:bottom w:val="single" w:color="000000" w:sz="4" w:space="0"/>
              <w:right w:val="single" w:color="000000" w:sz="4" w:space="0"/>
            </w:tcBorders>
            <w:shd w:val="clear" w:color="auto" w:fill="8EAADB" w:themeFill="accent5" w:themeFillTint="99"/>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日期</w:t>
            </w:r>
          </w:p>
        </w:tc>
        <w:tc>
          <w:tcPr>
            <w:tcW w:w="550" w:type="dxa"/>
            <w:tcBorders>
              <w:top w:val="single" w:color="000000" w:sz="4" w:space="0"/>
              <w:left w:val="single" w:color="000000" w:sz="4" w:space="0"/>
              <w:bottom w:val="single" w:color="000000" w:sz="4" w:space="0"/>
              <w:right w:val="single" w:color="000000" w:sz="4" w:space="0"/>
            </w:tcBorders>
            <w:shd w:val="clear" w:color="auto" w:fill="8EAADB" w:themeFill="accent5" w:themeFillTint="99"/>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天数</w:t>
            </w:r>
          </w:p>
        </w:tc>
        <w:tc>
          <w:tcPr>
            <w:tcW w:w="2250" w:type="dxa"/>
            <w:tcBorders>
              <w:top w:val="single" w:color="000000" w:sz="4" w:space="0"/>
              <w:left w:val="single" w:color="000000" w:sz="4" w:space="0"/>
              <w:bottom w:val="single" w:color="000000" w:sz="4" w:space="0"/>
              <w:right w:val="single" w:color="000000" w:sz="4" w:space="0"/>
            </w:tcBorders>
            <w:shd w:val="clear" w:color="auto" w:fill="8EAADB" w:themeFill="accent5" w:themeFillTint="99"/>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培训地点</w:t>
            </w:r>
          </w:p>
        </w:tc>
        <w:tc>
          <w:tcPr>
            <w:tcW w:w="937" w:type="dxa"/>
            <w:tcBorders>
              <w:top w:val="single" w:color="000000" w:sz="4" w:space="0"/>
              <w:left w:val="single" w:color="000000" w:sz="4" w:space="0"/>
              <w:bottom w:val="single" w:color="000000" w:sz="4" w:space="0"/>
              <w:right w:val="single" w:color="000000" w:sz="4" w:space="0"/>
            </w:tcBorders>
            <w:shd w:val="clear" w:color="auto" w:fill="8EAADB" w:themeFill="accent5" w:themeFillTint="99"/>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培训级别</w:t>
            </w:r>
          </w:p>
        </w:tc>
        <w:tc>
          <w:tcPr>
            <w:tcW w:w="2675" w:type="dxa"/>
            <w:tcBorders>
              <w:top w:val="single" w:color="000000" w:sz="4" w:space="0"/>
              <w:left w:val="single" w:color="000000" w:sz="4" w:space="0"/>
              <w:bottom w:val="single" w:color="000000" w:sz="4" w:space="0"/>
              <w:right w:val="single" w:color="000000" w:sz="4" w:space="0"/>
            </w:tcBorders>
            <w:shd w:val="clear" w:color="auto" w:fill="8EAADB" w:themeFill="accent5" w:themeFillTint="99"/>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项目名称</w:t>
            </w:r>
          </w:p>
        </w:tc>
        <w:tc>
          <w:tcPr>
            <w:tcW w:w="488" w:type="dxa"/>
            <w:tcBorders>
              <w:top w:val="single" w:color="000000" w:sz="4" w:space="0"/>
              <w:left w:val="single" w:color="000000" w:sz="4" w:space="0"/>
              <w:bottom w:val="single" w:color="000000" w:sz="4" w:space="0"/>
              <w:right w:val="single" w:color="000000" w:sz="4" w:space="0"/>
            </w:tcBorders>
            <w:shd w:val="clear" w:color="auto" w:fill="8EAADB" w:themeFill="accent5" w:themeFillTint="99"/>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42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7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尹军朝</w:t>
            </w:r>
          </w:p>
        </w:tc>
        <w:tc>
          <w:tcPr>
            <w:tcW w:w="1373"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5.5－6.2</w:t>
            </w:r>
          </w:p>
        </w:tc>
        <w:tc>
          <w:tcPr>
            <w:tcW w:w="5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w:t>
            </w:r>
          </w:p>
        </w:tc>
        <w:tc>
          <w:tcPr>
            <w:tcW w:w="22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洛阳牡丹通讯公司</w:t>
            </w:r>
          </w:p>
        </w:tc>
        <w:tc>
          <w:tcPr>
            <w:tcW w:w="93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国家级</w:t>
            </w:r>
          </w:p>
        </w:tc>
        <w:tc>
          <w:tcPr>
            <w:tcW w:w="2675"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数控培训</w:t>
            </w:r>
          </w:p>
        </w:tc>
        <w:tc>
          <w:tcPr>
            <w:tcW w:w="488"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10" w:hRule="atLeast"/>
        </w:trPr>
        <w:tc>
          <w:tcPr>
            <w:tcW w:w="42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7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张玉琪</w:t>
            </w:r>
          </w:p>
        </w:tc>
        <w:tc>
          <w:tcPr>
            <w:tcW w:w="1373"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6.19－7.6</w:t>
            </w:r>
          </w:p>
        </w:tc>
        <w:tc>
          <w:tcPr>
            <w:tcW w:w="5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w:t>
            </w:r>
          </w:p>
        </w:tc>
        <w:tc>
          <w:tcPr>
            <w:tcW w:w="22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唐山工业职业技术学院</w:t>
            </w:r>
          </w:p>
        </w:tc>
        <w:tc>
          <w:tcPr>
            <w:tcW w:w="93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国家级</w:t>
            </w:r>
          </w:p>
        </w:tc>
        <w:tc>
          <w:tcPr>
            <w:tcW w:w="2675"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专业带头领军能力、</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加工制造</w:t>
            </w:r>
          </w:p>
        </w:tc>
        <w:tc>
          <w:tcPr>
            <w:tcW w:w="488"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10" w:hRule="atLeast"/>
        </w:trPr>
        <w:tc>
          <w:tcPr>
            <w:tcW w:w="42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7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任洪伟</w:t>
            </w:r>
          </w:p>
        </w:tc>
        <w:tc>
          <w:tcPr>
            <w:tcW w:w="1373"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4.8－5.4</w:t>
            </w:r>
          </w:p>
        </w:tc>
        <w:tc>
          <w:tcPr>
            <w:tcW w:w="5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w:t>
            </w:r>
          </w:p>
        </w:tc>
        <w:tc>
          <w:tcPr>
            <w:tcW w:w="22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山东理工大学</w:t>
            </w:r>
          </w:p>
        </w:tc>
        <w:tc>
          <w:tcPr>
            <w:tcW w:w="93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国家级</w:t>
            </w:r>
          </w:p>
        </w:tc>
        <w:tc>
          <w:tcPr>
            <w:tcW w:w="2675"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双师型教师专业技能培训、</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数控技术应用</w:t>
            </w:r>
          </w:p>
        </w:tc>
        <w:tc>
          <w:tcPr>
            <w:tcW w:w="488"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42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7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范秀梅</w:t>
            </w:r>
          </w:p>
        </w:tc>
        <w:tc>
          <w:tcPr>
            <w:tcW w:w="1373"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4.9－5.7</w:t>
            </w:r>
          </w:p>
        </w:tc>
        <w:tc>
          <w:tcPr>
            <w:tcW w:w="5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w:t>
            </w:r>
          </w:p>
        </w:tc>
        <w:tc>
          <w:tcPr>
            <w:tcW w:w="22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西北农林</w:t>
            </w:r>
          </w:p>
        </w:tc>
        <w:tc>
          <w:tcPr>
            <w:tcW w:w="93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国家级</w:t>
            </w:r>
          </w:p>
        </w:tc>
        <w:tc>
          <w:tcPr>
            <w:tcW w:w="2675"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专业带头领军能力研修</w:t>
            </w:r>
          </w:p>
        </w:tc>
        <w:tc>
          <w:tcPr>
            <w:tcW w:w="488"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42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7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尹军朝</w:t>
            </w:r>
          </w:p>
        </w:tc>
        <w:tc>
          <w:tcPr>
            <w:tcW w:w="1373"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10.25－10.28</w:t>
            </w:r>
          </w:p>
        </w:tc>
        <w:tc>
          <w:tcPr>
            <w:tcW w:w="5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2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北京</w:t>
            </w:r>
          </w:p>
        </w:tc>
        <w:tc>
          <w:tcPr>
            <w:tcW w:w="93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省级</w:t>
            </w:r>
          </w:p>
        </w:tc>
        <w:tc>
          <w:tcPr>
            <w:tcW w:w="2675"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人工智能</w:t>
            </w:r>
          </w:p>
        </w:tc>
        <w:tc>
          <w:tcPr>
            <w:tcW w:w="488"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42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7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任凯华</w:t>
            </w:r>
          </w:p>
        </w:tc>
        <w:tc>
          <w:tcPr>
            <w:tcW w:w="1373"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10.27－10.31</w:t>
            </w:r>
          </w:p>
        </w:tc>
        <w:tc>
          <w:tcPr>
            <w:tcW w:w="5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22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石家庄职教中心</w:t>
            </w:r>
          </w:p>
        </w:tc>
        <w:tc>
          <w:tcPr>
            <w:tcW w:w="93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省级</w:t>
            </w:r>
          </w:p>
        </w:tc>
        <w:tc>
          <w:tcPr>
            <w:tcW w:w="2675"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职业礼仪</w:t>
            </w:r>
          </w:p>
        </w:tc>
        <w:tc>
          <w:tcPr>
            <w:tcW w:w="488"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42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7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张佳明</w:t>
            </w:r>
          </w:p>
        </w:tc>
        <w:tc>
          <w:tcPr>
            <w:tcW w:w="1373"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8.19－8.22</w:t>
            </w:r>
          </w:p>
        </w:tc>
        <w:tc>
          <w:tcPr>
            <w:tcW w:w="5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22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河北科技大学理工学院</w:t>
            </w:r>
          </w:p>
        </w:tc>
        <w:tc>
          <w:tcPr>
            <w:tcW w:w="93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省级</w:t>
            </w:r>
          </w:p>
        </w:tc>
        <w:tc>
          <w:tcPr>
            <w:tcW w:w="2675"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专业教师科研方法与能力</w:t>
            </w:r>
          </w:p>
        </w:tc>
        <w:tc>
          <w:tcPr>
            <w:tcW w:w="488"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42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7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范秀梅</w:t>
            </w:r>
          </w:p>
        </w:tc>
        <w:tc>
          <w:tcPr>
            <w:tcW w:w="1373"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8.19－8.22</w:t>
            </w:r>
          </w:p>
        </w:tc>
        <w:tc>
          <w:tcPr>
            <w:tcW w:w="5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22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河北科技大学理工学院</w:t>
            </w:r>
          </w:p>
        </w:tc>
        <w:tc>
          <w:tcPr>
            <w:tcW w:w="93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省级</w:t>
            </w:r>
          </w:p>
        </w:tc>
        <w:tc>
          <w:tcPr>
            <w:tcW w:w="2675"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专业教师科研方法与能力</w:t>
            </w:r>
          </w:p>
        </w:tc>
        <w:tc>
          <w:tcPr>
            <w:tcW w:w="488"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42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p>
        </w:tc>
        <w:tc>
          <w:tcPr>
            <w:tcW w:w="7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吴桐</w:t>
            </w:r>
          </w:p>
        </w:tc>
        <w:tc>
          <w:tcPr>
            <w:tcW w:w="1373"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8.19－8.22</w:t>
            </w:r>
          </w:p>
        </w:tc>
        <w:tc>
          <w:tcPr>
            <w:tcW w:w="5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22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河北科技大学理工学院</w:t>
            </w:r>
          </w:p>
        </w:tc>
        <w:tc>
          <w:tcPr>
            <w:tcW w:w="93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省级</w:t>
            </w:r>
          </w:p>
        </w:tc>
        <w:tc>
          <w:tcPr>
            <w:tcW w:w="2675"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专业教师科研方法与能力</w:t>
            </w:r>
          </w:p>
        </w:tc>
        <w:tc>
          <w:tcPr>
            <w:tcW w:w="488"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42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7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陈宝贵</w:t>
            </w:r>
          </w:p>
        </w:tc>
        <w:tc>
          <w:tcPr>
            <w:tcW w:w="1373"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8.19－8.22</w:t>
            </w:r>
          </w:p>
        </w:tc>
        <w:tc>
          <w:tcPr>
            <w:tcW w:w="5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22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河北科技大学理工学院</w:t>
            </w:r>
          </w:p>
        </w:tc>
        <w:tc>
          <w:tcPr>
            <w:tcW w:w="93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省级</w:t>
            </w:r>
          </w:p>
        </w:tc>
        <w:tc>
          <w:tcPr>
            <w:tcW w:w="2675"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专业教师科研方法与能力</w:t>
            </w:r>
          </w:p>
        </w:tc>
        <w:tc>
          <w:tcPr>
            <w:tcW w:w="488"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42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w:t>
            </w:r>
          </w:p>
        </w:tc>
        <w:tc>
          <w:tcPr>
            <w:tcW w:w="7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胡友权</w:t>
            </w:r>
          </w:p>
        </w:tc>
        <w:tc>
          <w:tcPr>
            <w:tcW w:w="1373"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8.19－8.22</w:t>
            </w:r>
          </w:p>
        </w:tc>
        <w:tc>
          <w:tcPr>
            <w:tcW w:w="5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22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河北科技大学理工学院</w:t>
            </w:r>
          </w:p>
        </w:tc>
        <w:tc>
          <w:tcPr>
            <w:tcW w:w="93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省级</w:t>
            </w:r>
          </w:p>
        </w:tc>
        <w:tc>
          <w:tcPr>
            <w:tcW w:w="2675"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专业教师科研方法与能力</w:t>
            </w:r>
          </w:p>
        </w:tc>
        <w:tc>
          <w:tcPr>
            <w:tcW w:w="488"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10" w:hRule="atLeast"/>
        </w:trPr>
        <w:tc>
          <w:tcPr>
            <w:tcW w:w="42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w:t>
            </w:r>
          </w:p>
        </w:tc>
        <w:tc>
          <w:tcPr>
            <w:tcW w:w="7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杨亚超</w:t>
            </w:r>
          </w:p>
        </w:tc>
        <w:tc>
          <w:tcPr>
            <w:tcW w:w="1373"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9.11－9.14</w:t>
            </w:r>
          </w:p>
        </w:tc>
        <w:tc>
          <w:tcPr>
            <w:tcW w:w="5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225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宽城县教体局</w:t>
            </w:r>
          </w:p>
        </w:tc>
        <w:tc>
          <w:tcPr>
            <w:tcW w:w="93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县级</w:t>
            </w:r>
          </w:p>
        </w:tc>
        <w:tc>
          <w:tcPr>
            <w:tcW w:w="2675"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烛光行动2018新东方教师社会责任行、语文教学课程培训</w:t>
            </w:r>
          </w:p>
        </w:tc>
        <w:tc>
          <w:tcPr>
            <w:tcW w:w="488"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有</w:t>
            </w:r>
          </w:p>
        </w:tc>
      </w:tr>
    </w:tbl>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3.4规范管理情况</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3.4.1教学管理</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各专业部根据专业特点，积极探索和实施小组学习、合作学习和自主学习；因材施教，推行分层教学、走班制等教学改革，建立了学习困难学生帮助机制、特长学生发展机制、卓越学生成长机制。充分利用教学实训基地的设备和各专业的名师，积极开展现代学徒制试点改革。</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创新教学模式，形成了以项目教学、案例教学等为主体的教学模式。广大教师普遍采用项目教学、案例教学、场景教学和模</w:t>
      </w:r>
      <w:bookmarkStart w:id="0" w:name="_GoBack"/>
      <w:bookmarkEnd w:id="0"/>
      <w:r>
        <w:rPr>
          <w:rFonts w:hint="eastAsia" w:ascii="仿宋_GB2312" w:hAnsi="仿宋_GB2312" w:eastAsia="仿宋_GB2312" w:cs="仿宋_GB2312"/>
          <w:color w:val="333333"/>
          <w:sz w:val="32"/>
          <w:szCs w:val="32"/>
          <w:shd w:val="clear" w:color="auto" w:fill="FFFFFF"/>
        </w:rPr>
        <w:t>拟教学等多种教学方式进行教学，注重专业教学过程与生产过程的对接，注重教学过程实践性、开放性和职业性。</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建立教学质量监控体系。依据《职业学校教学管理规范》，学校制定了《教务处任课教师年度业务量化考核方案》、《专业部任课教师年度业务量化考核方案》、《关于加强课堂纪律管理若干规定》等管理制度，实行学生评教活动。</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3.4.2学生管理</w:t>
      </w:r>
    </w:p>
    <w:p>
      <w:pPr>
        <w:ind w:firstLine="640" w:firstLineChars="200"/>
        <w:rPr>
          <w:rFonts w:hint="eastAsia" w:ascii="仿宋_GB2312" w:hAnsi="仿宋_GB2312" w:eastAsia="仿宋_GB2312" w:cs="仿宋_GB2312"/>
          <w:b w:val="0"/>
          <w:i w:val="0"/>
          <w:caps w:val="0"/>
          <w:color w:val="333333"/>
          <w:spacing w:val="0"/>
          <w:sz w:val="32"/>
          <w:szCs w:val="32"/>
          <w:lang w:eastAsia="zh-CN"/>
        </w:rPr>
      </w:pPr>
      <w:r>
        <w:rPr>
          <w:rFonts w:hint="eastAsia" w:ascii="仿宋_GB2312" w:hAnsi="仿宋_GB2312" w:eastAsia="仿宋_GB2312" w:cs="仿宋_GB2312"/>
          <w:b w:val="0"/>
          <w:i w:val="0"/>
          <w:caps w:val="0"/>
          <w:color w:val="333333"/>
          <w:spacing w:val="0"/>
          <w:sz w:val="32"/>
          <w:szCs w:val="32"/>
        </w:rPr>
        <w:t>学校深刻认识到管理育人在促进学生发展与成长方面的重要作用</w:t>
      </w:r>
      <w:r>
        <w:rPr>
          <w:rFonts w:hint="eastAsia" w:ascii="仿宋_GB2312" w:hAnsi="仿宋_GB2312" w:eastAsia="仿宋_GB2312" w:cs="仿宋_GB2312"/>
          <w:b w:val="0"/>
          <w:i w:val="0"/>
          <w:caps w:val="0"/>
          <w:color w:val="333333"/>
          <w:spacing w:val="0"/>
          <w:sz w:val="32"/>
          <w:szCs w:val="32"/>
          <w:lang w:eastAsia="zh-CN"/>
        </w:rPr>
        <w:t>，两年前就启动了</w:t>
      </w:r>
      <w:r>
        <w:rPr>
          <w:rFonts w:hint="eastAsia" w:ascii="仿宋_GB2312" w:hAnsi="仿宋_GB2312" w:eastAsia="仿宋_GB2312" w:cs="仿宋_GB2312"/>
          <w:b w:val="0"/>
          <w:i w:val="0"/>
          <w:caps w:val="0"/>
          <w:color w:val="333333"/>
          <w:spacing w:val="0"/>
          <w:sz w:val="32"/>
          <w:szCs w:val="32"/>
        </w:rPr>
        <w:t>“日行一善、周明一理、月养一习”</w:t>
      </w:r>
      <w:r>
        <w:rPr>
          <w:rFonts w:hint="eastAsia" w:ascii="仿宋_GB2312" w:hAnsi="仿宋_GB2312" w:eastAsia="仿宋_GB2312" w:cs="仿宋_GB2312"/>
          <w:b w:val="0"/>
          <w:i w:val="0"/>
          <w:caps w:val="0"/>
          <w:color w:val="333333"/>
          <w:spacing w:val="0"/>
          <w:sz w:val="32"/>
          <w:szCs w:val="32"/>
          <w:lang w:eastAsia="zh-CN"/>
        </w:rPr>
        <w:t>的</w:t>
      </w:r>
      <w:r>
        <w:rPr>
          <w:rFonts w:hint="eastAsia" w:ascii="仿宋_GB2312" w:hAnsi="仿宋_GB2312" w:eastAsia="仿宋_GB2312" w:cs="仿宋_GB2312"/>
          <w:b w:val="0"/>
          <w:i w:val="0"/>
          <w:caps w:val="0"/>
          <w:color w:val="333333"/>
          <w:spacing w:val="0"/>
          <w:sz w:val="32"/>
          <w:szCs w:val="32"/>
        </w:rPr>
        <w:t>“道德长跑”活动</w:t>
      </w:r>
      <w:r>
        <w:rPr>
          <w:rFonts w:hint="eastAsia" w:ascii="仿宋_GB2312" w:hAnsi="仿宋_GB2312" w:eastAsia="仿宋_GB2312" w:cs="仿宋_GB2312"/>
          <w:b w:val="0"/>
          <w:i w:val="0"/>
          <w:caps w:val="0"/>
          <w:color w:val="333333"/>
          <w:spacing w:val="0"/>
          <w:sz w:val="32"/>
          <w:szCs w:val="32"/>
          <w:lang w:eastAsia="zh-CN"/>
        </w:rPr>
        <w:t>，并在学生管理方面继续实行“五个一”精细化管理工程。</w:t>
      </w:r>
    </w:p>
    <w:p>
      <w:pPr>
        <w:ind w:firstLine="640" w:firstLineChars="200"/>
        <w:rPr>
          <w:rFonts w:hint="eastAsia" w:ascii="仿宋_GB2312" w:hAnsi="仿宋_GB2312" w:eastAsia="仿宋_GB2312" w:cs="仿宋_GB2312"/>
          <w:b w:val="0"/>
          <w:i w:val="0"/>
          <w:caps w:val="0"/>
          <w:color w:val="333333"/>
          <w:spacing w:val="0"/>
          <w:sz w:val="32"/>
          <w:szCs w:val="32"/>
          <w:lang w:val="en-US" w:eastAsia="zh-CN"/>
        </w:rPr>
      </w:pPr>
      <w:r>
        <w:rPr>
          <w:rFonts w:hint="eastAsia" w:ascii="仿宋_GB2312" w:hAnsi="仿宋_GB2312" w:eastAsia="仿宋_GB2312" w:cs="仿宋_GB2312"/>
          <w:b w:val="0"/>
          <w:i w:val="0"/>
          <w:caps w:val="0"/>
          <w:color w:val="333333"/>
          <w:spacing w:val="0"/>
          <w:sz w:val="32"/>
          <w:szCs w:val="32"/>
          <w:lang w:val="en-US" w:eastAsia="zh-CN"/>
        </w:rPr>
        <w:t>召开一次安全会议。在节假日及每周放假前召开安全教育大会，强调假期中应该注意的安全事项，提前做好安全教育。</w:t>
      </w:r>
    </w:p>
    <w:p>
      <w:pPr>
        <w:ind w:firstLine="640" w:firstLineChars="200"/>
        <w:rPr>
          <w:rFonts w:hint="eastAsia" w:ascii="仿宋_GB2312" w:hAnsi="仿宋_GB2312" w:eastAsia="仿宋_GB2312" w:cs="仿宋_GB2312"/>
          <w:b w:val="0"/>
          <w:i w:val="0"/>
          <w:caps w:val="0"/>
          <w:color w:val="333333"/>
          <w:spacing w:val="0"/>
          <w:sz w:val="32"/>
          <w:szCs w:val="32"/>
          <w:lang w:val="en-US" w:eastAsia="zh-CN"/>
        </w:rPr>
      </w:pPr>
      <w:r>
        <w:rPr>
          <w:rFonts w:hint="eastAsia" w:ascii="仿宋_GB2312" w:hAnsi="仿宋_GB2312" w:eastAsia="仿宋_GB2312" w:cs="仿宋_GB2312"/>
          <w:b w:val="0"/>
          <w:i w:val="0"/>
          <w:caps w:val="0"/>
          <w:color w:val="333333"/>
          <w:spacing w:val="0"/>
          <w:sz w:val="32"/>
          <w:szCs w:val="32"/>
          <w:lang w:val="en-US" w:eastAsia="zh-CN"/>
        </w:rPr>
        <w:t>做一次违禁品排查。每一次节假日返校后学生处全体人员在校门口对返校的学生进行一次检查，查处学生携带的违禁品，为</w:t>
      </w:r>
      <w:r>
        <w:rPr>
          <w:rFonts w:hint="eastAsia" w:ascii="仿宋_GB2312" w:hAnsi="仿宋_GB2312" w:eastAsia="仿宋_GB2312" w:cs="仿宋_GB2312"/>
          <w:b w:val="0"/>
          <w:i w:val="0"/>
          <w:caps w:val="0"/>
          <w:color w:val="333333"/>
          <w:spacing w:val="0"/>
          <w:sz w:val="32"/>
          <w:szCs w:val="32"/>
        </w:rPr>
        <w:t>学生</w:t>
      </w:r>
      <w:r>
        <w:rPr>
          <w:rFonts w:hint="eastAsia" w:ascii="仿宋_GB2312" w:hAnsi="仿宋_GB2312" w:eastAsia="仿宋_GB2312" w:cs="仿宋_GB2312"/>
          <w:b w:val="0"/>
          <w:i w:val="0"/>
          <w:caps w:val="0"/>
          <w:color w:val="333333"/>
          <w:spacing w:val="0"/>
          <w:sz w:val="32"/>
          <w:szCs w:val="32"/>
          <w:lang w:eastAsia="zh-CN"/>
        </w:rPr>
        <w:t>创造一个</w:t>
      </w:r>
      <w:r>
        <w:rPr>
          <w:rFonts w:hint="eastAsia" w:ascii="仿宋_GB2312" w:hAnsi="仿宋_GB2312" w:eastAsia="仿宋_GB2312" w:cs="仿宋_GB2312"/>
          <w:b w:val="0"/>
          <w:i w:val="0"/>
          <w:caps w:val="0"/>
          <w:color w:val="333333"/>
          <w:spacing w:val="0"/>
          <w:sz w:val="32"/>
          <w:szCs w:val="32"/>
        </w:rPr>
        <w:t>健康成长的良好环境</w:t>
      </w:r>
      <w:r>
        <w:rPr>
          <w:rFonts w:hint="eastAsia" w:ascii="仿宋_GB2312" w:hAnsi="仿宋_GB2312" w:eastAsia="仿宋_GB2312" w:cs="仿宋_GB2312"/>
          <w:b w:val="0"/>
          <w:i w:val="0"/>
          <w:caps w:val="0"/>
          <w:color w:val="333333"/>
          <w:spacing w:val="0"/>
          <w:sz w:val="32"/>
          <w:szCs w:val="32"/>
          <w:lang w:eastAsia="zh-CN"/>
        </w:rPr>
        <w:t>。</w:t>
      </w:r>
    </w:p>
    <w:p>
      <w:pPr>
        <w:ind w:firstLine="640" w:firstLineChars="200"/>
        <w:rPr>
          <w:rFonts w:hint="eastAsia" w:ascii="仿宋_GB2312" w:hAnsi="仿宋_GB2312" w:eastAsia="仿宋_GB2312" w:cs="仿宋_GB2312"/>
          <w:b w:val="0"/>
          <w:i w:val="0"/>
          <w:caps w:val="0"/>
          <w:color w:val="333333"/>
          <w:spacing w:val="0"/>
          <w:sz w:val="32"/>
          <w:szCs w:val="32"/>
          <w:lang w:val="en-US" w:eastAsia="zh-CN"/>
        </w:rPr>
      </w:pPr>
      <w:r>
        <w:rPr>
          <w:rFonts w:hint="eastAsia" w:ascii="仿宋_GB2312" w:hAnsi="仿宋_GB2312" w:eastAsia="仿宋_GB2312" w:cs="仿宋_GB2312"/>
          <w:b w:val="0"/>
          <w:i w:val="0"/>
          <w:caps w:val="0"/>
          <w:color w:val="333333"/>
          <w:spacing w:val="0"/>
          <w:sz w:val="32"/>
          <w:szCs w:val="32"/>
          <w:lang w:val="en-US" w:eastAsia="zh-CN"/>
        </w:rPr>
        <w:t>开好一个班主任例会。每周一的第一二节课学生处都召开班主任周例会，总结上周工作的不足，</w:t>
      </w:r>
      <w:r>
        <w:rPr>
          <w:rFonts w:hint="eastAsia" w:ascii="仿宋_GB2312" w:hAnsi="仿宋_GB2312" w:eastAsia="仿宋_GB2312" w:cs="仿宋_GB2312"/>
          <w:b w:val="0"/>
          <w:i w:val="0"/>
          <w:caps w:val="0"/>
          <w:color w:val="333333"/>
          <w:spacing w:val="0"/>
          <w:sz w:val="32"/>
          <w:szCs w:val="32"/>
        </w:rPr>
        <w:t>同时安排下周主要工作要求</w:t>
      </w:r>
      <w:r>
        <w:rPr>
          <w:rFonts w:hint="eastAsia" w:ascii="仿宋_GB2312" w:hAnsi="仿宋_GB2312" w:eastAsia="仿宋_GB2312" w:cs="仿宋_GB2312"/>
          <w:b w:val="0"/>
          <w:i w:val="0"/>
          <w:caps w:val="0"/>
          <w:color w:val="333333"/>
          <w:spacing w:val="0"/>
          <w:sz w:val="32"/>
          <w:szCs w:val="32"/>
          <w:lang w:eastAsia="zh-CN"/>
        </w:rPr>
        <w:t>，</w:t>
      </w:r>
      <w:r>
        <w:rPr>
          <w:rFonts w:hint="eastAsia" w:ascii="仿宋_GB2312" w:hAnsi="仿宋_GB2312" w:eastAsia="仿宋_GB2312" w:cs="仿宋_GB2312"/>
          <w:b w:val="0"/>
          <w:i w:val="0"/>
          <w:caps w:val="0"/>
          <w:color w:val="333333"/>
          <w:spacing w:val="0"/>
          <w:sz w:val="32"/>
          <w:szCs w:val="32"/>
          <w:lang w:val="en-US" w:eastAsia="zh-CN"/>
        </w:rPr>
        <w:t>保证本周工作有序开展。</w:t>
      </w:r>
    </w:p>
    <w:p>
      <w:pPr>
        <w:rPr>
          <w:rFonts w:hint="eastAsia" w:ascii="仿宋_GB2312" w:hAnsi="仿宋_GB2312" w:eastAsia="仿宋_GB2312" w:cs="仿宋_GB2312"/>
          <w:b w:val="0"/>
          <w:i w:val="0"/>
          <w:caps w:val="0"/>
          <w:color w:val="333333"/>
          <w:spacing w:val="0"/>
          <w:sz w:val="32"/>
          <w:szCs w:val="32"/>
          <w:lang w:val="en-US" w:eastAsia="zh-CN"/>
        </w:rPr>
      </w:pPr>
      <w:r>
        <w:rPr>
          <w:rFonts w:hint="eastAsia" w:ascii="仿宋_GB2312" w:eastAsia="仿宋_GB2312"/>
          <w:color w:val="3C3C3C"/>
          <w:sz w:val="32"/>
          <w:szCs w:val="32"/>
        </w:rPr>
        <w:t xml:space="preserve"> </w:t>
      </w:r>
      <w:r>
        <w:rPr>
          <w:rFonts w:hint="eastAsia" w:ascii="仿宋_GB2312" w:eastAsia="仿宋_GB2312"/>
          <w:color w:val="3C3C3C"/>
          <w:sz w:val="32"/>
          <w:szCs w:val="32"/>
          <w:lang w:val="en-US" w:eastAsia="zh-CN"/>
        </w:rPr>
        <w:t xml:space="preserve">  </w:t>
      </w:r>
      <w:r>
        <w:rPr>
          <w:rFonts w:hint="eastAsia" w:ascii="仿宋_GB2312" w:hAnsi="仿宋_GB2312" w:eastAsia="仿宋_GB2312" w:cs="仿宋_GB2312"/>
          <w:b w:val="0"/>
          <w:i w:val="0"/>
          <w:caps w:val="0"/>
          <w:color w:val="333333"/>
          <w:spacing w:val="0"/>
          <w:sz w:val="32"/>
          <w:szCs w:val="32"/>
          <w:lang w:val="en-US" w:eastAsia="zh-CN"/>
        </w:rPr>
        <w:t>召开一节主题班会。每周一的第七节课都召开班会，周周有主题，周周有总结，并且都有检查落实。</w:t>
      </w:r>
    </w:p>
    <w:p>
      <w:pPr>
        <w:ind w:firstLine="640" w:firstLineChars="200"/>
        <w:rPr>
          <w:rFonts w:hint="eastAsia" w:ascii="仿宋_GB2312" w:hAnsi="仿宋_GB2312" w:eastAsia="仿宋_GB2312" w:cs="仿宋_GB2312"/>
          <w:b w:val="0"/>
          <w:i w:val="0"/>
          <w:caps w:val="0"/>
          <w:color w:val="333333"/>
          <w:spacing w:val="0"/>
          <w:sz w:val="32"/>
          <w:szCs w:val="32"/>
          <w:lang w:val="en-US" w:eastAsia="zh-CN"/>
        </w:rPr>
      </w:pPr>
      <w:r>
        <w:rPr>
          <w:rFonts w:hint="eastAsia" w:ascii="仿宋_GB2312" w:hAnsi="仿宋_GB2312" w:eastAsia="仿宋_GB2312" w:cs="仿宋_GB2312"/>
          <w:b w:val="0"/>
          <w:i w:val="0"/>
          <w:caps w:val="0"/>
          <w:color w:val="333333"/>
          <w:spacing w:val="0"/>
          <w:sz w:val="32"/>
          <w:szCs w:val="32"/>
          <w:lang w:val="en-US" w:eastAsia="zh-CN"/>
        </w:rPr>
        <w:t>做好一次大扫除。每周一的第八节课都要求对教室、担当区、宿舍进行大扫除，有检查有评比，并将检查结果计入班级量化。</w:t>
      </w:r>
    </w:p>
    <w:p>
      <w:pPr>
        <w:widowControl/>
        <w:spacing w:line="560" w:lineRule="atLeast"/>
        <w:jc w:val="both"/>
        <w:rPr>
          <w:rFonts w:hint="eastAsia" w:ascii="华文新魏" w:hAnsi="华文新魏" w:eastAsia="华文新魏" w:cs="华文新魏"/>
          <w:color w:val="3C3C3C"/>
          <w:sz w:val="32"/>
          <w:szCs w:val="32"/>
        </w:rPr>
      </w:pPr>
      <w:r>
        <w:rPr>
          <w:rFonts w:hint="eastAsia" w:ascii="华文新魏" w:hAnsi="华文新魏" w:eastAsia="华文新魏" w:cs="华文新魏"/>
          <w:color w:val="3C3C3C"/>
          <w:sz w:val="32"/>
          <w:szCs w:val="32"/>
        </w:rPr>
        <w:drawing>
          <wp:inline distT="0" distB="0" distL="114300" distR="114300">
            <wp:extent cx="5797550" cy="4210050"/>
            <wp:effectExtent l="0" t="0" r="12700" b="0"/>
            <wp:docPr id="9" name="图片 9" descr="微信图片_2018121015163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81210151637_副本"/>
                    <pic:cNvPicPr>
                      <a:picLocks noChangeAspect="1"/>
                    </pic:cNvPicPr>
                  </pic:nvPicPr>
                  <pic:blipFill>
                    <a:blip r:embed="rId33"/>
                    <a:stretch>
                      <a:fillRect/>
                    </a:stretch>
                  </pic:blipFill>
                  <pic:spPr>
                    <a:xfrm>
                      <a:off x="0" y="0"/>
                      <a:ext cx="5797550" cy="4210050"/>
                    </a:xfrm>
                    <a:prstGeom prst="rect">
                      <a:avLst/>
                    </a:prstGeom>
                  </pic:spPr>
                </pic:pic>
              </a:graphicData>
            </a:graphic>
          </wp:inline>
        </w:drawing>
      </w:r>
    </w:p>
    <w:p>
      <w:pPr>
        <w:widowControl/>
        <w:spacing w:line="560" w:lineRule="atLeast"/>
        <w:jc w:val="center"/>
        <w:rPr>
          <w:rFonts w:hint="eastAsia" w:ascii="仿宋_GB2312" w:hAnsi="仿宋_GB2312" w:eastAsia="仿宋_GB2312" w:cs="仿宋_GB2312"/>
          <w:b w:val="0"/>
          <w:i w:val="0"/>
          <w:caps w:val="0"/>
          <w:color w:val="333333"/>
          <w:spacing w:val="0"/>
          <w:sz w:val="32"/>
          <w:szCs w:val="32"/>
          <w:lang w:val="en-US" w:eastAsia="zh-CN"/>
        </w:rPr>
      </w:pPr>
      <w:r>
        <w:rPr>
          <w:rFonts w:hint="eastAsia" w:ascii="华文新魏" w:hAnsi="华文新魏" w:eastAsia="华文新魏" w:cs="华文新魏"/>
          <w:color w:val="3C3C3C"/>
          <w:sz w:val="32"/>
          <w:szCs w:val="32"/>
        </w:rPr>
        <w:t>“道德长跑”活动</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3.4.3财务管理</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sz w:val="32"/>
          <w:szCs w:val="32"/>
        </w:rPr>
        <w:t>在物品采购、维修方面进行严格管理，对学校全部财产进行登记、造册、 统计、 量化、存档，履行申购、验收入帐、入库、领用的购物手续，强化财产管理，使学校财产管理逐步走上规范化，明细化，专业化。学校设立资金专用账户，专人管理,专款专用，无挤占、挪用、虚列等情况，没有将补助资金用于偿还欠款、支付利息、弥补日常经费及无关支出，严格执行大综资金使用招投标制度，规范政府采购，严格财务管理和会计核算，各项资金开支规范合理。</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3.4.4后勤管理</w:t>
      </w:r>
    </w:p>
    <w:p>
      <w:pPr>
        <w:ind w:firstLine="640" w:firstLineChars="200"/>
        <w:rPr>
          <w:rFonts w:ascii="仿宋_GB2312" w:eastAsia="仿宋_GB2312"/>
          <w:sz w:val="32"/>
          <w:szCs w:val="32"/>
        </w:rPr>
      </w:pPr>
      <w:r>
        <w:rPr>
          <w:rFonts w:hint="eastAsia" w:ascii="仿宋_GB2312" w:hAnsi="仿宋_GB2312" w:eastAsia="仿宋_GB2312" w:cs="仿宋_GB2312"/>
          <w:sz w:val="32"/>
          <w:szCs w:val="32"/>
        </w:rPr>
        <w:t>总务处在保证常规工作及时完成的同时，及时对校园进行绿化、美化；为各功能室、各教室配置好桌椅、卫生保洁用品，改善教师办公环境和学生学习环境。在食品安全和校舍管理方面，严格按照《食品卫生法》对食堂工作把关，重视饮食安全，严格执行食品留样制度，不定期检查，杜绝食物安全隐患。</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drawing>
          <wp:inline distT="0" distB="0" distL="114300" distR="114300">
            <wp:extent cx="5701665" cy="2187575"/>
            <wp:effectExtent l="0" t="0" r="13335" b="3175"/>
            <wp:docPr id="31" name="图片 31"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nitpintu_副本"/>
                    <pic:cNvPicPr>
                      <a:picLocks noChangeAspect="1"/>
                    </pic:cNvPicPr>
                  </pic:nvPicPr>
                  <pic:blipFill>
                    <a:blip r:embed="rId34" cstate="print"/>
                    <a:stretch>
                      <a:fillRect/>
                    </a:stretch>
                  </pic:blipFill>
                  <pic:spPr>
                    <a:xfrm>
                      <a:off x="0" y="0"/>
                      <a:ext cx="5701665" cy="2187575"/>
                    </a:xfrm>
                    <a:prstGeom prst="rect">
                      <a:avLst/>
                    </a:prstGeom>
                  </pic:spPr>
                </pic:pic>
              </a:graphicData>
            </a:graphic>
          </wp:inline>
        </w:drawing>
      </w:r>
    </w:p>
    <w:p>
      <w:pPr>
        <w:jc w:val="center"/>
        <w:rPr>
          <w:rFonts w:ascii="华文新魏" w:hAnsi="华文新魏" w:eastAsia="华文新魏" w:cs="华文新魏"/>
          <w:color w:val="333333"/>
          <w:sz w:val="32"/>
          <w:szCs w:val="32"/>
          <w:shd w:val="clear" w:color="auto" w:fill="FFFFFF"/>
        </w:rPr>
      </w:pPr>
      <w:r>
        <w:rPr>
          <w:rFonts w:hint="eastAsia" w:ascii="华文新魏" w:hAnsi="华文新魏" w:eastAsia="华文新魏" w:cs="华文新魏"/>
          <w:color w:val="333333"/>
          <w:sz w:val="32"/>
          <w:szCs w:val="32"/>
          <w:shd w:val="clear" w:color="auto" w:fill="FFFFFF"/>
        </w:rPr>
        <w:t>后勤管理</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3.4.5安全管理</w:t>
      </w:r>
    </w:p>
    <w:p>
      <w:pPr>
        <w:widowControl/>
        <w:spacing w:line="560" w:lineRule="atLeast"/>
        <w:ind w:firstLine="643"/>
        <w:jc w:val="left"/>
        <w:rPr>
          <w:rFonts w:hint="eastAsia" w:ascii="仿宋_GB2312" w:hAnsi="仿宋_GB2312" w:eastAsia="仿宋_GB2312" w:cs="仿宋_GB2312"/>
          <w:b w:val="0"/>
          <w:i w:val="0"/>
          <w:caps w:val="0"/>
          <w:color w:val="333333"/>
          <w:spacing w:val="0"/>
          <w:sz w:val="32"/>
          <w:szCs w:val="32"/>
          <w:lang w:val="en-US" w:eastAsia="zh-CN"/>
        </w:rPr>
      </w:pPr>
      <w:r>
        <w:rPr>
          <w:rFonts w:hint="eastAsia" w:ascii="仿宋_GB2312" w:eastAsia="仿宋_GB2312" w:cs="宋体" w:hAnsiTheme="minorHAnsi"/>
          <w:color w:val="3C3C3C"/>
          <w:kern w:val="0"/>
          <w:sz w:val="32"/>
          <w:szCs w:val="32"/>
          <w:lang w:val="en-US" w:eastAsia="zh-CN" w:bidi="ar"/>
        </w:rPr>
        <w:t>为了创建平安校园、和谐校园，学校不断加强学生的法</w:t>
      </w:r>
      <w:r>
        <w:rPr>
          <w:rFonts w:hint="eastAsia" w:ascii="仿宋_GB2312" w:eastAsia="仿宋_GB2312" w:cs="宋体"/>
          <w:color w:val="3C3C3C"/>
          <w:kern w:val="0"/>
          <w:sz w:val="32"/>
          <w:szCs w:val="32"/>
          <w:lang w:val="en-US" w:eastAsia="zh-CN" w:bidi="ar"/>
        </w:rPr>
        <w:t>律</w:t>
      </w:r>
      <w:r>
        <w:rPr>
          <w:rFonts w:hint="eastAsia" w:ascii="仿宋_GB2312" w:eastAsia="仿宋_GB2312" w:cs="宋体" w:hAnsiTheme="minorHAnsi"/>
          <w:color w:val="3C3C3C"/>
          <w:kern w:val="0"/>
          <w:sz w:val="32"/>
          <w:szCs w:val="32"/>
          <w:lang w:val="en-US" w:eastAsia="zh-CN" w:bidi="ar"/>
        </w:rPr>
        <w:t>知识和安全知识教育，每学期由</w:t>
      </w:r>
      <w:r>
        <w:rPr>
          <w:rFonts w:hint="eastAsia" w:ascii="仿宋_GB2312" w:eastAsia="仿宋_GB2312" w:cs="宋体"/>
          <w:color w:val="3C3C3C"/>
          <w:kern w:val="0"/>
          <w:sz w:val="32"/>
          <w:szCs w:val="32"/>
          <w:lang w:val="en-US" w:eastAsia="zh-CN" w:bidi="ar"/>
        </w:rPr>
        <w:t>学生处、综治办组</w:t>
      </w:r>
      <w:r>
        <w:rPr>
          <w:rFonts w:hint="eastAsia" w:ascii="仿宋_GB2312" w:eastAsia="仿宋_GB2312" w:cs="宋体" w:hAnsiTheme="minorHAnsi"/>
          <w:color w:val="3C3C3C"/>
          <w:kern w:val="0"/>
          <w:sz w:val="32"/>
          <w:szCs w:val="32"/>
          <w:lang w:val="en-US" w:eastAsia="zh-CN" w:bidi="ar"/>
        </w:rPr>
        <w:t>织开展校园安全知识讲座，制定应急预案，组织全体学生进行防火、防震演练，增强学生的安全防犯意识和观念。同时，本着一切为学生负责的理念，严查学校安全隐患，发现一处，整改一处。</w:t>
      </w:r>
      <w:r>
        <w:rPr>
          <w:rFonts w:hint="eastAsia" w:ascii="仿宋_GB2312" w:eastAsia="仿宋_GB2312" w:cs="宋体"/>
          <w:color w:val="3C3C3C"/>
          <w:kern w:val="0"/>
          <w:sz w:val="32"/>
          <w:szCs w:val="32"/>
          <w:lang w:val="en-US" w:eastAsia="zh-CN" w:bidi="ar"/>
        </w:rPr>
        <w:t>校领导</w:t>
      </w:r>
      <w:r>
        <w:rPr>
          <w:rFonts w:hint="eastAsia" w:ascii="仿宋_GB2312" w:eastAsia="仿宋_GB2312" w:cs="宋体" w:hAnsiTheme="minorHAnsi"/>
          <w:color w:val="3C3C3C"/>
          <w:kern w:val="0"/>
          <w:sz w:val="32"/>
          <w:szCs w:val="32"/>
          <w:lang w:val="en-US" w:eastAsia="zh-CN" w:bidi="ar"/>
        </w:rPr>
        <w:t>24小时带班，</w:t>
      </w:r>
      <w:r>
        <w:rPr>
          <w:rFonts w:hint="eastAsia" w:ascii="仿宋_GB2312" w:eastAsia="仿宋_GB2312" w:cs="宋体"/>
          <w:color w:val="3C3C3C"/>
          <w:kern w:val="0"/>
          <w:sz w:val="32"/>
          <w:szCs w:val="32"/>
          <w:lang w:val="en-US" w:eastAsia="zh-CN" w:bidi="ar"/>
        </w:rPr>
        <w:t>值班人员</w:t>
      </w:r>
      <w:r>
        <w:rPr>
          <w:rFonts w:hint="eastAsia" w:ascii="仿宋_GB2312" w:eastAsia="仿宋_GB2312" w:cs="宋体" w:hAnsiTheme="minorHAnsi"/>
          <w:color w:val="3C3C3C"/>
          <w:kern w:val="0"/>
          <w:sz w:val="32"/>
          <w:szCs w:val="32"/>
          <w:lang w:val="en-US" w:eastAsia="zh-CN" w:bidi="ar"/>
        </w:rPr>
        <w:t>24小时在岗，重点部位24小时监控，形成了良好的安全管理运行机制，为创建平安和谐校园起到积极作用。</w:t>
      </w:r>
    </w:p>
    <w:p>
      <w:pPr>
        <w:rPr>
          <w:rFonts w:ascii="华文新魏" w:hAnsi="华文新魏" w:eastAsia="华文新魏" w:cs="华文新魏"/>
          <w:color w:val="333333"/>
          <w:sz w:val="32"/>
          <w:szCs w:val="32"/>
          <w:shd w:val="clear" w:color="auto" w:fill="FFFFFF"/>
        </w:rPr>
      </w:pPr>
      <w:r>
        <w:rPr>
          <w:rFonts w:hint="eastAsia" w:ascii="华文新魏" w:hAnsi="华文新魏" w:eastAsia="华文新魏" w:cs="华文新魏"/>
          <w:color w:val="333333"/>
          <w:sz w:val="32"/>
          <w:szCs w:val="32"/>
          <w:shd w:val="clear" w:color="auto" w:fill="FFFFFF"/>
        </w:rPr>
        <w:drawing>
          <wp:inline distT="0" distB="0" distL="114300" distR="114300">
            <wp:extent cx="5701030" cy="2117090"/>
            <wp:effectExtent l="0" t="0" r="13970" b="16510"/>
            <wp:docPr id="19" name="图片 19" descr="安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安全"/>
                    <pic:cNvPicPr>
                      <a:picLocks noChangeAspect="1"/>
                    </pic:cNvPicPr>
                  </pic:nvPicPr>
                  <pic:blipFill>
                    <a:blip r:embed="rId35" cstate="print"/>
                    <a:stretch>
                      <a:fillRect/>
                    </a:stretch>
                  </pic:blipFill>
                  <pic:spPr>
                    <a:xfrm>
                      <a:off x="0" y="0"/>
                      <a:ext cx="5701030" cy="2117090"/>
                    </a:xfrm>
                    <a:prstGeom prst="rect">
                      <a:avLst/>
                    </a:prstGeom>
                  </pic:spPr>
                </pic:pic>
              </a:graphicData>
            </a:graphic>
          </wp:inline>
        </w:drawing>
      </w:r>
    </w:p>
    <w:p>
      <w:pPr>
        <w:jc w:val="center"/>
        <w:rPr>
          <w:rFonts w:ascii="华文新魏" w:hAnsi="华文新魏" w:eastAsia="华文新魏" w:cs="华文新魏"/>
          <w:color w:val="333333"/>
          <w:sz w:val="32"/>
          <w:szCs w:val="32"/>
          <w:shd w:val="clear" w:color="auto" w:fill="FFFFFF"/>
        </w:rPr>
      </w:pPr>
      <w:r>
        <w:rPr>
          <w:rFonts w:hint="eastAsia" w:ascii="华文新魏" w:hAnsi="华文新魏" w:eastAsia="华文新魏" w:cs="华文新魏"/>
          <w:color w:val="333333"/>
          <w:sz w:val="32"/>
          <w:szCs w:val="32"/>
          <w:shd w:val="clear" w:color="auto" w:fill="FFFFFF"/>
        </w:rPr>
        <w:t>一系列安全教育活动</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3.4.6科研管理</w:t>
      </w:r>
    </w:p>
    <w:p>
      <w:pPr>
        <w:ind w:firstLine="640" w:firstLineChars="200"/>
        <w:rPr>
          <w:rFonts w:ascii="仿宋_GB2312" w:hAnsi="仿宋_GB2312" w:eastAsia="仿宋_GB2312" w:cs="仿宋_GB2312"/>
          <w:sz w:val="32"/>
          <w:szCs w:val="32"/>
        </w:rPr>
      </w:pPr>
      <w:r>
        <w:rPr>
          <w:rFonts w:hint="eastAsia" w:ascii="仿宋_GB2312" w:hAnsi="Times New Roman" w:eastAsia="仿宋_GB2312"/>
          <w:sz w:val="32"/>
          <w:szCs w:val="32"/>
        </w:rPr>
        <w:t>全体教师积极参加教育研究，教育教研组坚持每周活动，效果良好。组织开展教育教学科学研究，在研课题有市“十三五”规划课题3项、中国职教学会课题4项，中国职教学会课题已申请结题。在县以上刊物上发表论文10篇。</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3.4.7管理队伍建设</w:t>
      </w:r>
    </w:p>
    <w:p>
      <w:pPr>
        <w:ind w:firstLine="640" w:firstLineChars="200"/>
        <w:rPr>
          <w:rFonts w:hint="eastAsia" w:ascii="仿宋_GB2312" w:hAnsi="仿宋_GB2312" w:eastAsia="仿宋_GB2312" w:cs="仿宋_GB2312"/>
          <w:color w:val="333333"/>
          <w:sz w:val="32"/>
          <w:szCs w:val="32"/>
          <w:shd w:val="clear" w:color="auto" w:fill="FFFFFF"/>
          <w:lang w:eastAsia="zh-CN"/>
        </w:rPr>
      </w:pPr>
      <w:r>
        <w:rPr>
          <w:rFonts w:hint="eastAsia" w:ascii="仿宋_GB2312" w:hAnsi="仿宋_GB2312" w:eastAsia="仿宋_GB2312" w:cs="仿宋_GB2312"/>
          <w:color w:val="333333"/>
          <w:sz w:val="32"/>
          <w:szCs w:val="32"/>
          <w:shd w:val="clear" w:color="auto" w:fill="FFFFFF"/>
          <w:lang w:val="en-US" w:eastAsia="zh-CN"/>
        </w:rPr>
        <w:t>领导班子建设。</w:t>
      </w:r>
      <w:r>
        <w:rPr>
          <w:rFonts w:hint="eastAsia" w:ascii="仿宋_GB2312" w:hAnsi="仿宋_GB2312" w:eastAsia="仿宋_GB2312" w:cs="仿宋_GB2312"/>
          <w:color w:val="333333"/>
          <w:sz w:val="32"/>
          <w:szCs w:val="32"/>
          <w:shd w:val="clear" w:color="auto" w:fill="FFFFFF"/>
          <w:lang w:eastAsia="zh-CN"/>
        </w:rPr>
        <w:t>强化班子思想作风建设，增强班子的凝聚力、战斗力和责任感，充分发挥每一位班子成员</w:t>
      </w:r>
      <w:r>
        <w:rPr>
          <w:rFonts w:hint="eastAsia" w:ascii="仿宋_GB2312" w:hAnsi="仿宋_GB2312" w:eastAsia="仿宋_GB2312" w:cs="仿宋_GB2312"/>
          <w:color w:val="333333"/>
          <w:sz w:val="32"/>
          <w:szCs w:val="32"/>
          <w:shd w:val="clear" w:color="auto" w:fill="FFFFFF"/>
          <w:lang w:val="en-US" w:eastAsia="zh-CN"/>
        </w:rPr>
        <w:t>的</w:t>
      </w:r>
      <w:r>
        <w:rPr>
          <w:rFonts w:hint="eastAsia" w:ascii="仿宋_GB2312" w:hAnsi="仿宋_GB2312" w:eastAsia="仿宋_GB2312" w:cs="仿宋_GB2312"/>
          <w:color w:val="333333"/>
          <w:sz w:val="32"/>
          <w:szCs w:val="32"/>
          <w:shd w:val="clear" w:color="auto" w:fill="FFFFFF"/>
          <w:lang w:eastAsia="zh-CN"/>
        </w:rPr>
        <w:t>榜样示范、</w:t>
      </w:r>
      <w:r>
        <w:rPr>
          <w:rFonts w:hint="eastAsia" w:ascii="仿宋_GB2312" w:hAnsi="仿宋_GB2312" w:eastAsia="仿宋_GB2312" w:cs="仿宋_GB2312"/>
          <w:color w:val="333333"/>
          <w:sz w:val="32"/>
          <w:szCs w:val="32"/>
          <w:shd w:val="clear" w:color="auto" w:fill="FFFFFF"/>
          <w:lang w:val="en-US" w:eastAsia="zh-CN"/>
        </w:rPr>
        <w:t>担当作为</w:t>
      </w:r>
      <w:r>
        <w:rPr>
          <w:rFonts w:hint="eastAsia" w:ascii="仿宋_GB2312" w:hAnsi="仿宋_GB2312" w:eastAsia="仿宋_GB2312" w:cs="仿宋_GB2312"/>
          <w:color w:val="333333"/>
          <w:sz w:val="32"/>
          <w:szCs w:val="32"/>
          <w:shd w:val="clear" w:color="auto" w:fill="FFFFFF"/>
          <w:lang w:eastAsia="zh-CN"/>
        </w:rPr>
        <w:t>。</w:t>
      </w:r>
    </w:p>
    <w:p>
      <w:pPr>
        <w:ind w:firstLine="640" w:firstLineChars="200"/>
        <w:rPr>
          <w:rFonts w:hint="eastAsia" w:ascii="仿宋_GB2312" w:hAnsi="仿宋_GB2312" w:eastAsia="仿宋_GB2312" w:cs="仿宋_GB2312"/>
          <w:color w:val="333333"/>
          <w:sz w:val="32"/>
          <w:szCs w:val="32"/>
          <w:shd w:val="clear" w:color="auto" w:fill="FFFFFF"/>
          <w:lang w:eastAsia="zh-CN"/>
        </w:rPr>
      </w:pPr>
      <w:r>
        <w:rPr>
          <w:rFonts w:hint="eastAsia" w:ascii="仿宋_GB2312" w:hAnsi="仿宋_GB2312" w:eastAsia="仿宋_GB2312" w:cs="仿宋_GB2312"/>
          <w:color w:val="333333"/>
          <w:sz w:val="32"/>
          <w:szCs w:val="32"/>
          <w:shd w:val="clear" w:color="auto" w:fill="FFFFFF"/>
          <w:lang w:val="en-US" w:eastAsia="zh-CN"/>
        </w:rPr>
        <w:t>中层领导队伍建设。</w:t>
      </w:r>
      <w:r>
        <w:rPr>
          <w:rFonts w:hint="eastAsia" w:ascii="仿宋_GB2312" w:hAnsi="仿宋_GB2312" w:eastAsia="仿宋_GB2312" w:cs="仿宋_GB2312"/>
          <w:color w:val="333333"/>
          <w:sz w:val="32"/>
          <w:szCs w:val="32"/>
          <w:shd w:val="clear" w:color="auto" w:fill="FFFFFF"/>
        </w:rPr>
        <w:t>健全</w:t>
      </w:r>
      <w:r>
        <w:rPr>
          <w:rFonts w:hint="eastAsia" w:ascii="仿宋_GB2312" w:hAnsi="仿宋_GB2312" w:eastAsia="仿宋_GB2312" w:cs="仿宋_GB2312"/>
          <w:color w:val="333333"/>
          <w:sz w:val="32"/>
          <w:szCs w:val="32"/>
          <w:shd w:val="clear" w:color="auto" w:fill="FFFFFF"/>
          <w:lang w:eastAsia="zh-CN"/>
        </w:rPr>
        <w:t>中层</w:t>
      </w:r>
      <w:r>
        <w:rPr>
          <w:rFonts w:hint="eastAsia" w:ascii="仿宋_GB2312" w:hAnsi="仿宋_GB2312" w:eastAsia="仿宋_GB2312" w:cs="仿宋_GB2312"/>
          <w:color w:val="333333"/>
          <w:sz w:val="32"/>
          <w:szCs w:val="32"/>
          <w:shd w:val="clear" w:color="auto" w:fill="FFFFFF"/>
          <w:lang w:val="en-US" w:eastAsia="zh-CN"/>
        </w:rPr>
        <w:t>领导</w:t>
      </w:r>
      <w:r>
        <w:rPr>
          <w:rFonts w:hint="eastAsia" w:ascii="仿宋_GB2312" w:hAnsi="仿宋_GB2312" w:eastAsia="仿宋_GB2312" w:cs="仿宋_GB2312"/>
          <w:color w:val="333333"/>
          <w:sz w:val="32"/>
          <w:szCs w:val="32"/>
          <w:shd w:val="clear" w:color="auto" w:fill="FFFFFF"/>
        </w:rPr>
        <w:t>岗位责任制及评价机制，</w:t>
      </w:r>
      <w:r>
        <w:rPr>
          <w:rFonts w:hint="eastAsia" w:ascii="仿宋_GB2312" w:hAnsi="仿宋_GB2312" w:eastAsia="仿宋_GB2312" w:cs="仿宋_GB2312"/>
          <w:color w:val="333333"/>
          <w:sz w:val="32"/>
          <w:szCs w:val="32"/>
          <w:shd w:val="clear" w:color="auto" w:fill="FFFFFF"/>
          <w:lang w:val="en-US" w:eastAsia="zh-CN"/>
        </w:rPr>
        <w:t>加强履职尽责、担当作为的管理监督，</w:t>
      </w:r>
      <w:r>
        <w:rPr>
          <w:rFonts w:hint="eastAsia" w:ascii="仿宋_GB2312" w:hAnsi="仿宋_GB2312" w:eastAsia="仿宋_GB2312" w:cs="仿宋_GB2312"/>
          <w:color w:val="333333"/>
          <w:sz w:val="32"/>
          <w:szCs w:val="32"/>
          <w:shd w:val="clear" w:color="auto" w:fill="FFFFFF"/>
        </w:rPr>
        <w:t>积极探索</w:t>
      </w:r>
      <w:r>
        <w:rPr>
          <w:rFonts w:hint="eastAsia" w:ascii="仿宋_GB2312" w:hAnsi="仿宋_GB2312" w:eastAsia="仿宋_GB2312" w:cs="仿宋_GB2312"/>
          <w:color w:val="333333"/>
          <w:sz w:val="32"/>
          <w:szCs w:val="32"/>
          <w:shd w:val="clear" w:color="auto" w:fill="FFFFFF"/>
          <w:lang w:val="en-US" w:eastAsia="zh-CN"/>
        </w:rPr>
        <w:t>科学</w:t>
      </w:r>
      <w:r>
        <w:rPr>
          <w:rFonts w:hint="eastAsia" w:ascii="仿宋_GB2312" w:hAnsi="仿宋_GB2312" w:eastAsia="仿宋_GB2312" w:cs="仿宋_GB2312"/>
          <w:color w:val="333333"/>
          <w:sz w:val="32"/>
          <w:szCs w:val="32"/>
          <w:shd w:val="clear" w:color="auto" w:fill="FFFFFF"/>
        </w:rPr>
        <w:t>的用人机制，把“想干事、会干事、能干事、干好事”的同志用到管理岗位来</w:t>
      </w:r>
      <w:r>
        <w:rPr>
          <w:rFonts w:hint="eastAsia" w:ascii="仿宋_GB2312" w:hAnsi="仿宋_GB2312" w:eastAsia="仿宋_GB2312" w:cs="仿宋_GB2312"/>
          <w:color w:val="333333"/>
          <w:sz w:val="32"/>
          <w:szCs w:val="32"/>
          <w:shd w:val="clear" w:color="auto" w:fill="FFFFFF"/>
          <w:lang w:eastAsia="zh-CN"/>
        </w:rPr>
        <w:t>，</w:t>
      </w:r>
      <w:r>
        <w:rPr>
          <w:rFonts w:hint="eastAsia" w:ascii="仿宋_GB2312" w:hAnsi="仿宋_GB2312" w:eastAsia="仿宋_GB2312" w:cs="仿宋_GB2312"/>
          <w:color w:val="333333"/>
          <w:sz w:val="32"/>
          <w:szCs w:val="32"/>
          <w:shd w:val="clear" w:color="auto" w:fill="FFFFFF"/>
        </w:rPr>
        <w:t>激发干事创业的积极性</w:t>
      </w:r>
      <w:r>
        <w:rPr>
          <w:rFonts w:hint="eastAsia" w:ascii="仿宋_GB2312" w:hAnsi="仿宋_GB2312" w:eastAsia="仿宋_GB2312" w:cs="仿宋_GB2312"/>
          <w:color w:val="333333"/>
          <w:sz w:val="32"/>
          <w:szCs w:val="32"/>
          <w:shd w:val="clear" w:color="auto" w:fill="FFFFFF"/>
          <w:lang w:eastAsia="zh-CN"/>
        </w:rPr>
        <w:t>。</w:t>
      </w:r>
    </w:p>
    <w:p>
      <w:pPr>
        <w:ind w:firstLine="640" w:firstLineChars="200"/>
        <w:rPr>
          <w:rFonts w:hint="eastAsia" w:ascii="仿宋_GB2312" w:hAnsi="仿宋_GB2312" w:eastAsia="仿宋_GB2312" w:cs="仿宋_GB2312"/>
          <w:color w:val="333333"/>
          <w:sz w:val="32"/>
          <w:szCs w:val="32"/>
          <w:shd w:val="clear" w:color="auto" w:fill="FFFFFF"/>
          <w:lang w:val="en-US" w:eastAsia="zh-CN"/>
        </w:rPr>
      </w:pPr>
      <w:r>
        <w:rPr>
          <w:rFonts w:hint="eastAsia" w:ascii="仿宋_GB2312" w:hAnsi="仿宋_GB2312" w:eastAsia="仿宋_GB2312" w:cs="仿宋_GB2312"/>
          <w:color w:val="333333"/>
          <w:sz w:val="32"/>
          <w:szCs w:val="32"/>
          <w:shd w:val="clear" w:color="auto" w:fill="FFFFFF"/>
          <w:lang w:val="en-US" w:eastAsia="zh-CN"/>
        </w:rPr>
        <w:t>班主任队伍建设。完善班主任管理办法并严格实施，</w:t>
      </w:r>
      <w:r>
        <w:rPr>
          <w:rFonts w:hint="eastAsia" w:ascii="仿宋_GB2312" w:hAnsi="仿宋_GB2312" w:eastAsia="仿宋_GB2312" w:cs="仿宋_GB2312"/>
          <w:color w:val="333333"/>
          <w:sz w:val="32"/>
          <w:szCs w:val="32"/>
          <w:shd w:val="clear" w:color="auto" w:fill="FFFFFF"/>
        </w:rPr>
        <w:t>继续实行班主任周一例会制</w:t>
      </w:r>
      <w:r>
        <w:rPr>
          <w:rFonts w:hint="eastAsia" w:ascii="仿宋_GB2312" w:hAnsi="仿宋_GB2312" w:eastAsia="仿宋_GB2312" w:cs="仿宋_GB2312"/>
          <w:color w:val="333333"/>
          <w:sz w:val="32"/>
          <w:szCs w:val="32"/>
          <w:shd w:val="clear" w:color="auto" w:fill="FFFFFF"/>
          <w:lang w:eastAsia="zh-CN"/>
        </w:rPr>
        <w:t>。</w:t>
      </w:r>
      <w:r>
        <w:rPr>
          <w:rFonts w:hint="eastAsia" w:ascii="仿宋_GB2312" w:hAnsi="仿宋_GB2312" w:eastAsia="仿宋_GB2312" w:cs="仿宋_GB2312"/>
          <w:color w:val="333333"/>
          <w:sz w:val="32"/>
          <w:szCs w:val="32"/>
          <w:shd w:val="clear" w:color="auto" w:fill="FFFFFF"/>
          <w:lang w:val="en-US" w:eastAsia="zh-CN"/>
        </w:rPr>
        <w:t>通过绩效考核、学习培训、基本功大赛，有效促进班主任成长，提升班主任工作能力。</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3.4.8管理信息化水平</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十分重视信息化管理水平的提升，建立了教师、学生管理系统，实行网上考核、请销假、写工作日志等，实施网上流动管理；建立住宿学生打卡管理系统，实时监控住宿生情况；建立了工作群、值班群、教师群、班主任群、班级群等微信平台，可实现网络办公，及时高效的反映各种问题，下达各项任务；建立学校权力运行网络，明确职责，规范权限，确保工作落到实处。</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drawing>
          <wp:inline distT="0" distB="0" distL="114300" distR="114300">
            <wp:extent cx="5700395" cy="2912745"/>
            <wp:effectExtent l="0" t="0" r="14605" b="1905"/>
            <wp:docPr id="22" name="图片 22" descr="19453395698910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94533956989101490"/>
                    <pic:cNvPicPr>
                      <a:picLocks noChangeAspect="1"/>
                    </pic:cNvPicPr>
                  </pic:nvPicPr>
                  <pic:blipFill>
                    <a:blip r:embed="rId36" cstate="print"/>
                    <a:stretch>
                      <a:fillRect/>
                    </a:stretch>
                  </pic:blipFill>
                  <pic:spPr>
                    <a:xfrm>
                      <a:off x="0" y="0"/>
                      <a:ext cx="5700395" cy="2912745"/>
                    </a:xfrm>
                    <a:prstGeom prst="rect">
                      <a:avLst/>
                    </a:prstGeom>
                  </pic:spPr>
                </pic:pic>
              </a:graphicData>
            </a:graphic>
          </wp:inline>
        </w:drawing>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3.5德育工作情况</w:t>
      </w:r>
    </w:p>
    <w:p>
      <w:pPr>
        <w:rPr>
          <w:rFonts w:ascii="仿宋_GB2312" w:eastAsia="仿宋_GB2312" w:cs="宋体"/>
          <w:color w:val="3C3C3C"/>
          <w:kern w:val="0"/>
          <w:sz w:val="32"/>
          <w:szCs w:val="32"/>
        </w:rPr>
      </w:pPr>
      <w:r>
        <w:rPr>
          <w:rFonts w:hint="eastAsia" w:ascii="仿宋_GB2312" w:hAnsi="仿宋_GB2312" w:eastAsia="仿宋_GB2312" w:cs="仿宋_GB2312"/>
          <w:color w:val="333333"/>
          <w:sz w:val="32"/>
          <w:szCs w:val="32"/>
          <w:shd w:val="clear" w:color="auto" w:fill="FFFFFF"/>
        </w:rPr>
        <w:t>3.5.1德育课实施情况</w:t>
      </w:r>
    </w:p>
    <w:p>
      <w:pPr>
        <w:widowControl/>
        <w:spacing w:line="560" w:lineRule="atLeast"/>
        <w:ind w:firstLine="640" w:firstLineChars="200"/>
        <w:rPr>
          <w:rFonts w:ascii="仿宋_GB2312" w:eastAsia="仿宋_GB2312" w:cs="宋体"/>
          <w:color w:val="3C3C3C"/>
          <w:kern w:val="0"/>
          <w:sz w:val="32"/>
          <w:szCs w:val="32"/>
        </w:rPr>
      </w:pPr>
      <w:r>
        <w:rPr>
          <w:rFonts w:hint="eastAsia" w:ascii="仿宋_GB2312" w:eastAsia="仿宋_GB2312" w:cs="宋体"/>
          <w:color w:val="3C3C3C"/>
          <w:kern w:val="0"/>
          <w:sz w:val="32"/>
          <w:szCs w:val="32"/>
        </w:rPr>
        <w:t>学校开设了《职业道德与法律》等专项德育课程，对学生进行思想品德和法治教育；学校开发了德育校本教材《养正》并投入使用，形成了具有宽城职教中心特色的德育教育；开展早自习前“弟子规诵读”，并定期举行“弟子规”诵读比赛；每周一召开班主任例会。多层次、全方位进行德育教育。</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3.5.2校园文化建设</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学校以“社会主义核心价值观涵育基地”建设为载体，以“让每个角落会说话”的建设宗旨，开展校园文化建设。</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（1）学校围绕社会主义核心价值观24个字开展校园文化建设，设立了宣传橱窗、学习园地、活动展厅，举办社会主义核心价值观学习周、演讲赛、艺术节等系列活动。</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 xml:space="preserve">（2）以弘扬职业道德精神、塑造高尚思想品格的内容为核心，开展校园文化内涵建设。打造了主题明确、个性鲜明的走廊文化、餐厅文化、宿舍文化、室内文化、橱窗文化，校园文化氛围十分浓厚。 </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倡导中华传统美德，用优秀的中华传统美德精神教育学生。聘请老干部为师生讲座《弟子规》；开展每日早晨经典诵读传统礼仪教育活动；开展“日行一善、周明一理、月养一习”道德长活动；探索“养正”教育机制，强化学生行为规范。学校选派教师到外地参加传统文化学习活动7次，为校内师生讲解传统文化知识160多节课，15000多人次听课。2014自年以来，学校组织每天10分钟志愿活动400多场次，宣传尊老爱幼、扶贫济困等活动15场次，到敬老院开展敬老爱老活动7次，参加活动2000多人。2015年学校被确定为河北省志愿服务培训基地。</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让学生在校园文化中陶冶情操，磨练意志，坚定成长目标和养成良好生活习惯的同时，学会保护自身安全。总之在学校的每一个角落里都会处处都洋溢着安全文明的气息，良好的校园文化氛围，起到了润物细无声良好效果。</w:t>
      </w:r>
    </w:p>
    <w:p>
      <w:pPr>
        <w:rPr>
          <w:rFonts w:ascii="仿宋_GB2312" w:eastAsia="仿宋_GB2312" w:cs="宋体"/>
          <w:color w:val="3C3C3C"/>
          <w:kern w:val="0"/>
          <w:sz w:val="32"/>
          <w:szCs w:val="32"/>
        </w:rPr>
      </w:pPr>
      <w:r>
        <w:rPr>
          <w:rFonts w:hint="eastAsia" w:ascii="仿宋_GB2312" w:hAnsi="仿宋_GB2312" w:eastAsia="仿宋_GB2312" w:cs="仿宋_GB2312"/>
          <w:color w:val="333333"/>
          <w:sz w:val="32"/>
          <w:szCs w:val="32"/>
          <w:shd w:val="clear" w:color="auto" w:fill="FFFFFF"/>
        </w:rPr>
        <w:t>3.5.3文明风采活动开展情况</w:t>
      </w:r>
    </w:p>
    <w:p>
      <w:pPr>
        <w:widowControl/>
        <w:spacing w:line="560" w:lineRule="atLeast"/>
        <w:ind w:firstLine="640" w:firstLineChars="200"/>
        <w:rPr>
          <w:rFonts w:ascii="仿宋_GB2312" w:eastAsia="仿宋_GB2312" w:cs="宋体"/>
          <w:color w:val="3C3C3C"/>
          <w:kern w:val="0"/>
          <w:sz w:val="32"/>
          <w:szCs w:val="32"/>
        </w:rPr>
      </w:pPr>
      <w:r>
        <w:rPr>
          <w:rFonts w:hint="eastAsia" w:ascii="仿宋_GB2312" w:eastAsia="仿宋_GB2312" w:cs="宋体"/>
          <w:color w:val="3C3C3C"/>
          <w:kern w:val="0"/>
          <w:sz w:val="32"/>
          <w:szCs w:val="32"/>
        </w:rPr>
        <w:t>学校共有81名学生参加了全国首家大型户外实景大剧“满秀”的演出；与九京会商学院SD004班、社会公益爱心人士携手专业手拉手导师，组织约300多个学生家庭举办"共同托起明天的太阳"大型公益活动；学校组织开展了十八岁成人宣誓仪式；举行母亲节“感恩”系列教育活动；开展“勿忘国耻，青春同祭”国家公祭日主题系列活动；学校广播站、礼仪队、国旗班、电视台、电商协会等学生社团活动正常开展。学校礼仪队50多人次参加县“迎祥杯”创新创业开幕仪式，得到社会和上级领导的好评。</w:t>
      </w:r>
    </w:p>
    <w:p>
      <w:pPr>
        <w:widowControl/>
        <w:spacing w:line="560" w:lineRule="atLeast"/>
        <w:rPr>
          <w:rFonts w:ascii="仿宋_GB2312" w:eastAsia="仿宋_GB2312" w:cs="宋体"/>
          <w:color w:val="3C3C3C"/>
          <w:kern w:val="0"/>
          <w:sz w:val="32"/>
          <w:szCs w:val="32"/>
        </w:rPr>
      </w:pPr>
      <w:r>
        <w:rPr>
          <w:rFonts w:hint="eastAsia" w:ascii="仿宋_GB2312" w:eastAsia="仿宋_GB2312" w:cs="宋体"/>
          <w:color w:val="3C3C3C"/>
          <w:kern w:val="0"/>
          <w:sz w:val="32"/>
          <w:szCs w:val="32"/>
        </w:rPr>
        <w:drawing>
          <wp:inline distT="0" distB="0" distL="114300" distR="114300">
            <wp:extent cx="5697220" cy="2432685"/>
            <wp:effectExtent l="0" t="0" r="17780" b="5715"/>
            <wp:docPr id="3" name="图片 3"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1"/>
                    <pic:cNvPicPr>
                      <a:picLocks noChangeAspect="1"/>
                    </pic:cNvPicPr>
                  </pic:nvPicPr>
                  <pic:blipFill>
                    <a:blip r:embed="rId37" cstate="print"/>
                    <a:stretch>
                      <a:fillRect/>
                    </a:stretch>
                  </pic:blipFill>
                  <pic:spPr>
                    <a:xfrm>
                      <a:off x="0" y="0"/>
                      <a:ext cx="5697220" cy="2432685"/>
                    </a:xfrm>
                    <a:prstGeom prst="rect">
                      <a:avLst/>
                    </a:prstGeom>
                  </pic:spPr>
                </pic:pic>
              </a:graphicData>
            </a:graphic>
          </wp:inline>
        </w:drawing>
      </w:r>
    </w:p>
    <w:p>
      <w:pPr>
        <w:widowControl/>
        <w:spacing w:line="560" w:lineRule="atLeast"/>
        <w:jc w:val="center"/>
        <w:rPr>
          <w:rFonts w:ascii="仿宋_GB2312" w:eastAsia="仿宋_GB2312" w:cs="宋体"/>
          <w:color w:val="3C3C3C"/>
          <w:kern w:val="0"/>
          <w:sz w:val="32"/>
          <w:szCs w:val="32"/>
        </w:rPr>
      </w:pPr>
      <w:r>
        <w:rPr>
          <w:rFonts w:hint="eastAsia" w:ascii="华文新魏" w:hAnsi="华文新魏" w:eastAsia="华文新魏" w:cs="华文新魏"/>
          <w:color w:val="3C3C3C"/>
          <w:kern w:val="0"/>
          <w:sz w:val="32"/>
          <w:szCs w:val="32"/>
        </w:rPr>
        <w:t>文明采风活动</w:t>
      </w:r>
    </w:p>
    <w:p>
      <w:pPr>
        <w:rPr>
          <w:rFonts w:ascii="仿宋_GB2312" w:eastAsia="仿宋_GB2312" w:cs="宋体"/>
          <w:color w:val="3C3C3C"/>
          <w:kern w:val="0"/>
          <w:sz w:val="32"/>
          <w:szCs w:val="32"/>
        </w:rPr>
      </w:pPr>
      <w:r>
        <w:rPr>
          <w:rFonts w:hint="eastAsia" w:ascii="仿宋_GB2312" w:hAnsi="仿宋_GB2312" w:eastAsia="仿宋_GB2312" w:cs="仿宋_GB2312"/>
          <w:color w:val="333333"/>
          <w:sz w:val="32"/>
          <w:szCs w:val="32"/>
          <w:shd w:val="clear" w:color="auto" w:fill="FFFFFF"/>
        </w:rPr>
        <w:t>3.5.4社团活动</w:t>
      </w:r>
    </w:p>
    <w:p>
      <w:pPr>
        <w:widowControl/>
        <w:spacing w:line="560" w:lineRule="atLeast"/>
        <w:ind w:firstLine="640" w:firstLineChars="200"/>
        <w:rPr>
          <w:rFonts w:ascii="仿宋_GB2312" w:eastAsia="仿宋_GB2312" w:cs="宋体"/>
          <w:color w:val="3C3C3C"/>
          <w:kern w:val="0"/>
          <w:sz w:val="32"/>
          <w:szCs w:val="32"/>
        </w:rPr>
      </w:pPr>
      <w:r>
        <w:rPr>
          <w:rFonts w:hint="eastAsia" w:ascii="仿宋_GB2312" w:eastAsia="仿宋_GB2312" w:cs="宋体"/>
          <w:color w:val="3C3C3C"/>
          <w:kern w:val="0"/>
          <w:sz w:val="32"/>
          <w:szCs w:val="32"/>
        </w:rPr>
        <w:t>学校着力营造良好的校园文化氛围。举办第四届校园艺术节；参加由教育部学校规划建设发展中心举办的“优优汇联杯”电子商务实战技能大赛并闯入决赛；成功举办宽城县“广盛居杯”篮球联赛；举行“喜迎十九大，不忘初心跟党走”主题团日。</w:t>
      </w:r>
    </w:p>
    <w:p>
      <w:pPr>
        <w:widowControl/>
        <w:spacing w:line="560" w:lineRule="atLeas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drawing>
          <wp:inline distT="0" distB="0" distL="114300" distR="114300">
            <wp:extent cx="5698490" cy="1602740"/>
            <wp:effectExtent l="0" t="0" r="16510" b="16510"/>
            <wp:docPr id="20" name="图片 20" descr="2015040208582638[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15040208582638[1]_副本"/>
                    <pic:cNvPicPr>
                      <a:picLocks noChangeAspect="1"/>
                    </pic:cNvPicPr>
                  </pic:nvPicPr>
                  <pic:blipFill>
                    <a:blip r:embed="rId38" cstate="print"/>
                    <a:stretch>
                      <a:fillRect/>
                    </a:stretch>
                  </pic:blipFill>
                  <pic:spPr>
                    <a:xfrm>
                      <a:off x="0" y="0"/>
                      <a:ext cx="5698490" cy="1602740"/>
                    </a:xfrm>
                    <a:prstGeom prst="rect">
                      <a:avLst/>
                    </a:prstGeom>
                  </pic:spPr>
                </pic:pic>
              </a:graphicData>
            </a:graphic>
          </wp:inline>
        </w:drawing>
      </w:r>
    </w:p>
    <w:p>
      <w:pPr>
        <w:widowControl/>
        <w:spacing w:line="560" w:lineRule="atLeast"/>
        <w:jc w:val="center"/>
        <w:rPr>
          <w:rFonts w:ascii="华文新魏" w:hAnsi="华文新魏" w:eastAsia="华文新魏" w:cs="华文新魏"/>
          <w:color w:val="333333"/>
          <w:sz w:val="32"/>
          <w:szCs w:val="32"/>
          <w:shd w:val="clear" w:color="auto" w:fill="FFFFFF"/>
        </w:rPr>
      </w:pPr>
      <w:r>
        <w:rPr>
          <w:rFonts w:hint="eastAsia" w:ascii="华文新魏" w:hAnsi="华文新魏" w:eastAsia="华文新魏" w:cs="华文新魏"/>
          <w:color w:val="333333"/>
          <w:sz w:val="32"/>
          <w:szCs w:val="32"/>
          <w:shd w:val="clear" w:color="auto" w:fill="FFFFFF"/>
        </w:rPr>
        <w:t>学生社团活动</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3.5.5团组织学生会建设及活动</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（1）团组织建设及活动。团委建立团组织框架，建立四个专业部的团总支。</w:t>
      </w:r>
      <w:r>
        <w:rPr>
          <w:rFonts w:hint="eastAsia" w:ascii="仿宋_GB2312" w:eastAsia="仿宋_GB2312" w:cs="宋体"/>
          <w:color w:val="3C3C3C"/>
          <w:kern w:val="0"/>
          <w:sz w:val="32"/>
          <w:szCs w:val="32"/>
        </w:rPr>
        <w:t>学校广播站、礼仪队、国旗班、电视台、电商协会等学生社团活动正常开展。学校礼仪队50多人次参加县“</w:t>
      </w:r>
      <w:r>
        <w:rPr>
          <w:rFonts w:hint="eastAsia" w:ascii="仿宋_GB2312" w:eastAsia="仿宋_GB2312" w:cs="宋体"/>
          <w:color w:val="3C3C3C"/>
          <w:kern w:val="0"/>
          <w:sz w:val="32"/>
          <w:szCs w:val="32"/>
          <w:lang w:eastAsia="zh-CN"/>
        </w:rPr>
        <w:t>琢酒杯</w:t>
      </w:r>
      <w:r>
        <w:rPr>
          <w:rFonts w:hint="eastAsia" w:ascii="仿宋_GB2312" w:eastAsia="仿宋_GB2312" w:cs="宋体"/>
          <w:color w:val="3C3C3C"/>
          <w:kern w:val="0"/>
          <w:sz w:val="32"/>
          <w:szCs w:val="32"/>
        </w:rPr>
        <w:t>”</w:t>
      </w:r>
      <w:r>
        <w:rPr>
          <w:rFonts w:hint="eastAsia" w:ascii="仿宋_GB2312" w:eastAsia="仿宋_GB2312" w:cs="宋体"/>
          <w:color w:val="3C3C3C"/>
          <w:kern w:val="0"/>
          <w:sz w:val="32"/>
          <w:szCs w:val="32"/>
          <w:lang w:eastAsia="zh-CN"/>
        </w:rPr>
        <w:t>县篮球赛</w:t>
      </w:r>
      <w:r>
        <w:rPr>
          <w:rFonts w:hint="eastAsia" w:ascii="仿宋_GB2312" w:eastAsia="仿宋_GB2312" w:cs="宋体"/>
          <w:color w:val="3C3C3C"/>
          <w:kern w:val="0"/>
          <w:sz w:val="32"/>
          <w:szCs w:val="32"/>
        </w:rPr>
        <w:t>开幕仪式，收到社会和上级领导的好评。</w:t>
      </w:r>
      <w:r>
        <w:rPr>
          <w:rFonts w:hint="eastAsia" w:ascii="仿宋_GB2312" w:hAnsi="仿宋_GB2312" w:eastAsia="仿宋_GB2312" w:cs="仿宋_GB2312"/>
          <w:color w:val="333333"/>
          <w:sz w:val="32"/>
          <w:szCs w:val="32"/>
          <w:shd w:val="clear" w:color="auto" w:fill="FFFFFF"/>
        </w:rPr>
        <w:t>通过团委一系列活动的建设，规范了团组织管理，丰富了学生的课余生活，促进校园文化建设。2017年，学校团委被评为县级“优秀团组织”。</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（2）学生会建设及活动。召开了每年一届的学生会换届选举，纳新30人，并制定《学生会干部管理细则》及各部管理细则。学生干部的工作开展，促进学生的管理、协调能力。</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3.6党建情况</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3.6.1健全党建工作管理体制情况</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党委围绕学校中心工作，加强健全党建工作管理体制。一是努力优化管理机制，构建党政共抓、条块结合、分层领导的综合管理体制；建立支部委员学习考核制度；健全重要事项民主决策机制；建立领导班子向党组织定期通报工作制度，完善述职考评机制。二是不断强化作风建设。在各支部开展“讲党性，比师德；讲敬业，比师能；讲责任，比奉献”等系列活动，师德建设成效显著。三是加强服务型党组织建设。以支部为单位建立党员志愿服务队，带动党员教师到社区开展志愿服务。四是着力突出思想引领。坚持立德树人，践行社会主义核心价值观，培育“厚德敏行”的职教精神，坚定理想信念。对照新时期从严治党的八项要求，高标准落实党建责任，高质量推进组织建设。</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3.6.2推动德育和思想政治工作情况</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着眼高处，以党建工作带动学校各项管理工作，以党的先进思想引领全体教师，引导学生；着手实处，密切联系群众，联系职业教育工作实际，开展实效性工作，让老师乐于工作，学生乐于学习。学校加强学生自育能力的培养，充分利用课间活动、卫生管理、课间集会、社会实践等活动，不断提高自学教育意识。把校园、班级、宿舍、食堂等每一个角落作为教育的主阵地。以社团活动为载体，以技能创新为特色，大力培育学生实践能力。培养“厚德敏行”的品质，打造“精工立业”人才，形成“人人关心养成教育，从学抓好“养成教育”的氛围。</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3.6.3加强党组织建设情况</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党委现有党员92人，党委成员7人，下设7个党支部。在学校党委的领导下，以“两学一做”学习教育为重点和切入点，深入学习贯彻十九大和习近平总书记系列讲话精神，紧紧围绕学校教育教学中心工作，坚持“三会一课”和“民主生活会”等制度，认真开展主题教育活动，通过抓好干部队伍建设、党员队伍建设和教师队伍建设，全面推进学校内涵提升工程顺利实施。</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3.6.4党组织发挥政治核心作用情况</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在学校教育教学工作实际中，党委充分发挥政治核心作用，正确处理好政治思想与教育教学关系问题，防止党组织作用和学校工作两层皮现象。保证党的教育方针、政策和上级党委的文件精神在学校得到正确及时地贯彻执行；保证学校按照教育教学规律办事，不断提高教育教学质量。</w:t>
      </w:r>
    </w:p>
    <w:p>
      <w:pPr>
        <w:rPr>
          <w:rFonts w:ascii="黑体" w:hAnsi="黑体" w:eastAsia="黑体" w:cs="黑体"/>
          <w:color w:val="333333"/>
          <w:sz w:val="32"/>
          <w:szCs w:val="32"/>
          <w:shd w:val="clear" w:color="auto" w:fill="FFFFFF"/>
        </w:rPr>
      </w:pPr>
      <w:r>
        <w:rPr>
          <w:rFonts w:hint="eastAsia" w:ascii="黑体" w:hAnsi="黑体" w:eastAsia="黑体" w:cs="黑体"/>
          <w:color w:val="333333"/>
          <w:sz w:val="32"/>
          <w:szCs w:val="32"/>
          <w:shd w:val="clear" w:color="auto" w:fill="FFFFFF"/>
        </w:rPr>
        <w:t>4.校企合作</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4.1校企合作开展情况和效果</w:t>
      </w:r>
    </w:p>
    <w:p>
      <w:pPr>
        <w:ind w:firstLine="600"/>
      </w:pPr>
      <w:r>
        <w:rPr>
          <w:rFonts w:hint="eastAsia" w:eastAsia="仿宋_GB2312"/>
          <w:sz w:val="32"/>
        </w:rPr>
        <w:t>学校每年都要派出调研队伍，</w:t>
      </w:r>
      <w:r>
        <w:rPr>
          <w:rFonts w:hint="eastAsia" w:eastAsia="仿宋_GB2312"/>
          <w:sz w:val="32"/>
          <w:lang w:eastAsia="zh-CN"/>
        </w:rPr>
        <w:t>深入</w:t>
      </w:r>
      <w:r>
        <w:rPr>
          <w:rFonts w:hint="eastAsia" w:eastAsia="仿宋_GB2312"/>
          <w:sz w:val="32"/>
        </w:rPr>
        <w:t>县内</w:t>
      </w:r>
      <w:r>
        <w:rPr>
          <w:rFonts w:hint="eastAsia" w:eastAsia="仿宋_GB2312"/>
          <w:sz w:val="32"/>
          <w:lang w:eastAsia="zh-CN"/>
        </w:rPr>
        <w:t>外</w:t>
      </w:r>
      <w:r>
        <w:rPr>
          <w:rFonts w:hint="eastAsia" w:eastAsia="仿宋_GB2312"/>
          <w:sz w:val="32"/>
        </w:rPr>
        <w:t>企业进行调研，</w:t>
      </w:r>
      <w:r>
        <w:rPr>
          <w:rFonts w:hint="eastAsia" w:eastAsia="仿宋_GB2312"/>
          <w:sz w:val="32"/>
          <w:lang w:eastAsia="zh-CN"/>
        </w:rPr>
        <w:t>并</w:t>
      </w:r>
      <w:r>
        <w:rPr>
          <w:rFonts w:hint="eastAsia" w:eastAsia="仿宋_GB2312"/>
          <w:sz w:val="32"/>
        </w:rPr>
        <w:t>加大了对京津唐及秦皇岛区域调研工作，重点了解在“京津冀一体化”战略背景下的人才需求状况，了解企业的所思，所想，了解企业的管理模式和人才需求状况，为企业的经济发展提供人才、技术的支持</w:t>
      </w:r>
      <w:r>
        <w:rPr>
          <w:rFonts w:hint="eastAsia" w:eastAsia="仿宋_GB2312"/>
          <w:sz w:val="32"/>
          <w:lang w:eastAsia="zh-CN"/>
        </w:rPr>
        <w:t>。今年</w:t>
      </w:r>
      <w:r>
        <w:rPr>
          <w:rFonts w:hint="eastAsia" w:eastAsia="仿宋_GB2312"/>
          <w:sz w:val="32"/>
        </w:rPr>
        <w:t>我校先后开展了对</w:t>
      </w:r>
      <w:r>
        <w:rPr>
          <w:rFonts w:hint="eastAsia" w:eastAsia="仿宋_GB2312"/>
          <w:sz w:val="32"/>
          <w:lang w:eastAsia="zh-CN"/>
        </w:rPr>
        <w:t>机械制造业、娱乐旅游业、现代服务业</w:t>
      </w:r>
      <w:r>
        <w:rPr>
          <w:rFonts w:hint="eastAsia" w:eastAsia="仿宋_GB2312"/>
          <w:sz w:val="32"/>
        </w:rPr>
        <w:t>进行了调研，走访了</w:t>
      </w:r>
      <w:r>
        <w:rPr>
          <w:rFonts w:hint="eastAsia" w:eastAsia="仿宋_GB2312"/>
          <w:sz w:val="32"/>
          <w:lang w:eastAsia="zh-CN"/>
        </w:rPr>
        <w:t>几十</w:t>
      </w:r>
      <w:r>
        <w:rPr>
          <w:rFonts w:hint="eastAsia" w:eastAsia="仿宋_GB2312"/>
          <w:sz w:val="32"/>
        </w:rPr>
        <w:t>家企业，</w:t>
      </w:r>
      <w:r>
        <w:rPr>
          <w:rFonts w:hint="eastAsia" w:eastAsia="仿宋_GB2312"/>
          <w:sz w:val="32"/>
          <w:lang w:eastAsia="zh-CN"/>
        </w:rPr>
        <w:t>同时，</w:t>
      </w:r>
      <w:r>
        <w:rPr>
          <w:rFonts w:hint="eastAsia" w:eastAsia="仿宋_GB2312"/>
          <w:sz w:val="32"/>
        </w:rPr>
        <w:t>加大与企业联系与合作，为他们培养</w:t>
      </w:r>
      <w:r>
        <w:rPr>
          <w:rFonts w:hint="eastAsia" w:eastAsia="仿宋_GB2312"/>
          <w:sz w:val="32"/>
          <w:lang w:eastAsia="zh-CN"/>
        </w:rPr>
        <w:t>所</w:t>
      </w:r>
      <w:r>
        <w:rPr>
          <w:rFonts w:hint="eastAsia" w:eastAsia="仿宋_GB2312"/>
          <w:sz w:val="32"/>
        </w:rPr>
        <w:t>需要的人才</w:t>
      </w:r>
      <w:r>
        <w:rPr>
          <w:rFonts w:hint="eastAsia" w:eastAsia="仿宋_GB2312"/>
          <w:sz w:val="32"/>
          <w:lang w:eastAsia="zh-CN"/>
        </w:rPr>
        <w:t>。今年先后与合众人（北京商务服务）有限公司、北京雅宝洁物业管理中心、苏州工达服务外包有限公司签署校企合作协议。为它们输送</w:t>
      </w:r>
      <w:r>
        <w:rPr>
          <w:rFonts w:hint="eastAsia" w:eastAsia="仿宋_GB2312"/>
          <w:sz w:val="32"/>
          <w:lang w:val="en-US" w:eastAsia="zh-CN"/>
        </w:rPr>
        <w:t>60名顶岗实习学生。今年</w:t>
      </w:r>
      <w:r>
        <w:rPr>
          <w:rFonts w:hint="eastAsia" w:eastAsia="仿宋_GB2312"/>
          <w:sz w:val="32"/>
          <w:lang w:eastAsia="zh-CN"/>
        </w:rPr>
        <w:t>进一步与北京福田戴姆勒汽车有限公司加强合作，为他们输送</w:t>
      </w:r>
      <w:r>
        <w:rPr>
          <w:rFonts w:hint="eastAsia" w:eastAsia="仿宋_GB2312"/>
          <w:sz w:val="32"/>
          <w:lang w:val="en-US" w:eastAsia="zh-CN"/>
        </w:rPr>
        <w:t>102名顶岗实习学生。通过顶岗实习，不仅锻炼实际操作能力，而且又提升了综合素质，目前实习学生当中有些人成</w:t>
      </w:r>
      <w:r>
        <w:rPr>
          <w:rFonts w:hint="eastAsia" w:eastAsia="仿宋_GB2312"/>
          <w:sz w:val="32"/>
        </w:rPr>
        <w:t>为企业的骨干或技术能手</w:t>
      </w:r>
      <w:r>
        <w:rPr>
          <w:rFonts w:hint="eastAsia" w:eastAsia="仿宋_GB2312"/>
          <w:sz w:val="32"/>
          <w:lang w:eastAsia="zh-CN"/>
        </w:rPr>
        <w:t>，收到了实习单位的好评和广泛赞誉。</w:t>
      </w:r>
    </w:p>
    <w:p>
      <w:pPr>
        <w:rPr>
          <w:rFonts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 xml:space="preserve">表17                     </w:t>
      </w:r>
      <w:r>
        <w:rPr>
          <w:rFonts w:hint="eastAsia" w:ascii="仿宋_GB2312" w:hAnsi="仿宋_GB2312" w:eastAsia="仿宋_GB2312" w:cs="仿宋_GB2312"/>
          <w:color w:val="333333"/>
          <w:szCs w:val="21"/>
          <w:shd w:val="clear" w:color="auto" w:fill="FFFFFF"/>
        </w:rPr>
        <w:tab/>
      </w:r>
      <w:r>
        <w:rPr>
          <w:rFonts w:hint="eastAsia" w:ascii="仿宋_GB2312" w:hAnsi="仿宋_GB2312" w:eastAsia="仿宋_GB2312" w:cs="仿宋_GB2312"/>
          <w:color w:val="333333"/>
          <w:szCs w:val="21"/>
          <w:shd w:val="clear" w:color="auto" w:fill="FFFFFF"/>
        </w:rPr>
        <w:t>实习单位及实习人数统计表</w:t>
      </w:r>
    </w:p>
    <w:tbl>
      <w:tblPr>
        <w:tblStyle w:val="11"/>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0"/>
        <w:gridCol w:w="2706"/>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280" w:type="dxa"/>
            <w:shd w:val="clear" w:color="auto" w:fill="00B0F0"/>
            <w:vAlign w:val="center"/>
          </w:tcPr>
          <w:p>
            <w:pPr>
              <w:jc w:val="center"/>
              <w:rPr>
                <w:rFonts w:ascii="仿宋" w:hAnsi="仿宋" w:eastAsia="仿宋"/>
                <w:szCs w:val="21"/>
              </w:rPr>
            </w:pPr>
            <w:r>
              <w:rPr>
                <w:rFonts w:hint="eastAsia" w:ascii="仿宋" w:hAnsi="仿宋" w:eastAsia="仿宋"/>
                <w:szCs w:val="21"/>
              </w:rPr>
              <w:t>实习单位</w:t>
            </w:r>
          </w:p>
        </w:tc>
        <w:tc>
          <w:tcPr>
            <w:tcW w:w="2706" w:type="dxa"/>
            <w:shd w:val="clear" w:color="auto" w:fill="00B0F0"/>
            <w:vAlign w:val="center"/>
          </w:tcPr>
          <w:p>
            <w:pPr>
              <w:jc w:val="center"/>
              <w:rPr>
                <w:rFonts w:ascii="仿宋" w:hAnsi="仿宋" w:eastAsia="仿宋"/>
                <w:szCs w:val="21"/>
              </w:rPr>
            </w:pPr>
            <w:r>
              <w:rPr>
                <w:rFonts w:hint="eastAsia" w:ascii="仿宋" w:hAnsi="仿宋" w:eastAsia="仿宋"/>
                <w:szCs w:val="21"/>
              </w:rPr>
              <w:t>201</w:t>
            </w:r>
            <w:r>
              <w:rPr>
                <w:rFonts w:hint="eastAsia" w:ascii="仿宋" w:hAnsi="仿宋" w:eastAsia="仿宋"/>
                <w:szCs w:val="21"/>
                <w:lang w:val="en-US" w:eastAsia="zh-CN"/>
              </w:rPr>
              <w:t>7</w:t>
            </w:r>
            <w:r>
              <w:rPr>
                <w:rFonts w:hint="eastAsia" w:ascii="仿宋" w:hAnsi="仿宋" w:eastAsia="仿宋"/>
                <w:szCs w:val="21"/>
              </w:rPr>
              <w:t>年度</w:t>
            </w:r>
          </w:p>
        </w:tc>
        <w:tc>
          <w:tcPr>
            <w:tcW w:w="2994" w:type="dxa"/>
            <w:shd w:val="clear" w:color="auto" w:fill="00B0F0"/>
            <w:vAlign w:val="center"/>
          </w:tcPr>
          <w:p>
            <w:pPr>
              <w:jc w:val="center"/>
              <w:rPr>
                <w:rFonts w:ascii="仿宋" w:hAnsi="仿宋" w:eastAsia="仿宋"/>
                <w:szCs w:val="21"/>
              </w:rPr>
            </w:pPr>
            <w:r>
              <w:rPr>
                <w:rFonts w:hint="eastAsia" w:ascii="仿宋" w:hAnsi="仿宋" w:eastAsia="仿宋"/>
                <w:szCs w:val="21"/>
              </w:rPr>
              <w:t>201</w:t>
            </w:r>
            <w:r>
              <w:rPr>
                <w:rFonts w:hint="eastAsia" w:ascii="仿宋" w:hAnsi="仿宋" w:eastAsia="仿宋"/>
                <w:szCs w:val="21"/>
                <w:lang w:val="en-US" w:eastAsia="zh-CN"/>
              </w:rPr>
              <w:t>8</w:t>
            </w:r>
            <w:r>
              <w:rPr>
                <w:rFonts w:hint="eastAsia" w:ascii="仿宋" w:hAnsi="仿宋" w:eastAsia="仿宋"/>
                <w:szCs w:val="21"/>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280" w:type="dxa"/>
            <w:shd w:val="clear" w:color="auto" w:fill="92D050"/>
            <w:vAlign w:val="center"/>
          </w:tcPr>
          <w:p>
            <w:pPr>
              <w:jc w:val="center"/>
              <w:rPr>
                <w:rFonts w:ascii="仿宋" w:hAnsi="仿宋" w:eastAsia="仿宋"/>
                <w:szCs w:val="21"/>
              </w:rPr>
            </w:pPr>
            <w:r>
              <w:rPr>
                <w:rFonts w:hint="eastAsia" w:ascii="仿宋" w:hAnsi="仿宋" w:eastAsia="仿宋"/>
                <w:szCs w:val="21"/>
              </w:rPr>
              <w:t>北京戴姆勒</w:t>
            </w:r>
          </w:p>
        </w:tc>
        <w:tc>
          <w:tcPr>
            <w:tcW w:w="2706" w:type="dxa"/>
            <w:shd w:val="clear" w:color="auto" w:fill="92D050"/>
            <w:vAlign w:val="center"/>
          </w:tcPr>
          <w:p>
            <w:pPr>
              <w:jc w:val="center"/>
              <w:rPr>
                <w:rFonts w:hint="eastAsia" w:ascii="仿宋" w:hAnsi="仿宋" w:eastAsia="仿宋"/>
                <w:szCs w:val="21"/>
                <w:lang w:val="en-US" w:eastAsia="zh-CN"/>
              </w:rPr>
            </w:pPr>
            <w:r>
              <w:rPr>
                <w:rFonts w:hint="eastAsia" w:ascii="仿宋" w:hAnsi="仿宋" w:eastAsia="仿宋"/>
                <w:szCs w:val="21"/>
                <w:lang w:val="en-US" w:eastAsia="zh-CN"/>
              </w:rPr>
              <w:t>138</w:t>
            </w:r>
          </w:p>
        </w:tc>
        <w:tc>
          <w:tcPr>
            <w:tcW w:w="2994" w:type="dxa"/>
            <w:shd w:val="clear" w:color="auto" w:fill="92D050"/>
            <w:vAlign w:val="center"/>
          </w:tcPr>
          <w:p>
            <w:pPr>
              <w:jc w:val="center"/>
              <w:rPr>
                <w:rFonts w:hint="eastAsia" w:ascii="仿宋" w:hAnsi="仿宋" w:eastAsia="仿宋"/>
                <w:szCs w:val="21"/>
                <w:lang w:val="en-US" w:eastAsia="zh-CN"/>
              </w:rPr>
            </w:pPr>
            <w:r>
              <w:rPr>
                <w:rFonts w:hint="eastAsia" w:ascii="仿宋" w:hAnsi="仿宋" w:eastAsia="仿宋"/>
                <w:szCs w:val="21"/>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280" w:type="dxa"/>
            <w:shd w:val="clear" w:color="auto" w:fill="92D050"/>
            <w:vAlign w:val="center"/>
          </w:tcPr>
          <w:p>
            <w:pPr>
              <w:jc w:val="center"/>
              <w:rPr>
                <w:rFonts w:hint="eastAsia" w:ascii="仿宋" w:hAnsi="仿宋" w:eastAsia="仿宋"/>
                <w:szCs w:val="21"/>
                <w:lang w:val="en-US" w:eastAsia="zh-CN"/>
              </w:rPr>
            </w:pPr>
            <w:r>
              <w:rPr>
                <w:rFonts w:hint="eastAsia" w:ascii="仿宋" w:hAnsi="仿宋" w:eastAsia="仿宋"/>
                <w:szCs w:val="21"/>
                <w:lang w:val="en-US" w:eastAsia="zh-CN"/>
              </w:rPr>
              <w:t>合众人（北京商务服务）有限公司</w:t>
            </w:r>
          </w:p>
        </w:tc>
        <w:tc>
          <w:tcPr>
            <w:tcW w:w="2706" w:type="dxa"/>
            <w:shd w:val="clear" w:color="auto" w:fill="92D050"/>
            <w:vAlign w:val="center"/>
          </w:tcPr>
          <w:p>
            <w:pPr>
              <w:jc w:val="center"/>
              <w:rPr>
                <w:rFonts w:hint="eastAsia" w:ascii="仿宋" w:hAnsi="仿宋" w:eastAsia="仿宋"/>
                <w:szCs w:val="21"/>
                <w:lang w:eastAsia="zh-CN"/>
              </w:rPr>
            </w:pPr>
            <w:r>
              <w:rPr>
                <w:rFonts w:hint="eastAsia" w:ascii="仿宋" w:hAnsi="仿宋" w:eastAsia="仿宋"/>
                <w:szCs w:val="21"/>
                <w:lang w:val="en-US" w:eastAsia="zh-CN"/>
              </w:rPr>
              <w:t>0</w:t>
            </w:r>
          </w:p>
        </w:tc>
        <w:tc>
          <w:tcPr>
            <w:tcW w:w="2994" w:type="dxa"/>
            <w:shd w:val="clear" w:color="auto" w:fill="92D050"/>
            <w:vAlign w:val="center"/>
          </w:tcPr>
          <w:p>
            <w:pPr>
              <w:jc w:val="center"/>
              <w:rPr>
                <w:rFonts w:hint="eastAsia" w:ascii="仿宋" w:hAnsi="仿宋" w:eastAsia="仿宋"/>
                <w:szCs w:val="21"/>
                <w:lang w:eastAsia="zh-CN"/>
              </w:rPr>
            </w:pPr>
            <w:r>
              <w:rPr>
                <w:rFonts w:hint="eastAsia" w:ascii="仿宋" w:hAnsi="仿宋" w:eastAsia="仿宋"/>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280" w:type="dxa"/>
            <w:shd w:val="clear" w:color="auto" w:fill="92D050"/>
            <w:vAlign w:val="center"/>
          </w:tcPr>
          <w:p>
            <w:pPr>
              <w:jc w:val="center"/>
              <w:rPr>
                <w:rFonts w:hint="eastAsia" w:ascii="仿宋" w:hAnsi="仿宋" w:eastAsia="仿宋"/>
                <w:szCs w:val="21"/>
                <w:lang w:val="en-US" w:eastAsia="zh-CN"/>
              </w:rPr>
            </w:pPr>
            <w:r>
              <w:rPr>
                <w:rFonts w:hint="eastAsia" w:ascii="仿宋" w:hAnsi="仿宋" w:eastAsia="仿宋"/>
                <w:szCs w:val="21"/>
                <w:lang w:val="en-US" w:eastAsia="zh-CN"/>
              </w:rPr>
              <w:t>北京雅宝洁物业管理中心</w:t>
            </w:r>
          </w:p>
        </w:tc>
        <w:tc>
          <w:tcPr>
            <w:tcW w:w="2706" w:type="dxa"/>
            <w:shd w:val="clear" w:color="auto" w:fill="92D050"/>
            <w:vAlign w:val="center"/>
          </w:tcPr>
          <w:p>
            <w:pPr>
              <w:jc w:val="center"/>
              <w:rPr>
                <w:rFonts w:hint="eastAsia" w:ascii="仿宋" w:hAnsi="仿宋" w:eastAsia="仿宋"/>
                <w:szCs w:val="21"/>
                <w:lang w:val="en-US" w:eastAsia="zh-CN"/>
              </w:rPr>
            </w:pPr>
            <w:r>
              <w:rPr>
                <w:rFonts w:hint="eastAsia" w:ascii="仿宋" w:hAnsi="仿宋" w:eastAsia="仿宋"/>
                <w:szCs w:val="21"/>
                <w:lang w:val="en-US" w:eastAsia="zh-CN"/>
              </w:rPr>
              <w:t>0</w:t>
            </w:r>
          </w:p>
        </w:tc>
        <w:tc>
          <w:tcPr>
            <w:tcW w:w="2994" w:type="dxa"/>
            <w:shd w:val="clear" w:color="auto" w:fill="92D050"/>
            <w:vAlign w:val="center"/>
          </w:tcPr>
          <w:p>
            <w:pPr>
              <w:jc w:val="center"/>
              <w:rPr>
                <w:rFonts w:hint="eastAsia" w:ascii="仿宋" w:hAnsi="仿宋" w:eastAsia="仿宋"/>
                <w:szCs w:val="21"/>
                <w:lang w:eastAsia="zh-CN"/>
              </w:rPr>
            </w:pPr>
            <w:r>
              <w:rPr>
                <w:rFonts w:hint="eastAsia" w:ascii="仿宋" w:hAnsi="仿宋" w:eastAsia="仿宋"/>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280" w:type="dxa"/>
            <w:shd w:val="clear" w:color="auto" w:fill="92D050"/>
            <w:vAlign w:val="center"/>
          </w:tcPr>
          <w:p>
            <w:pPr>
              <w:jc w:val="center"/>
              <w:rPr>
                <w:rFonts w:hint="eastAsia" w:ascii="仿宋" w:hAnsi="仿宋" w:eastAsia="仿宋"/>
                <w:szCs w:val="21"/>
                <w:lang w:val="en-US" w:eastAsia="zh-CN"/>
              </w:rPr>
            </w:pPr>
            <w:r>
              <w:rPr>
                <w:rFonts w:hint="eastAsia" w:ascii="仿宋" w:hAnsi="仿宋" w:eastAsia="仿宋"/>
                <w:szCs w:val="21"/>
                <w:lang w:val="en-US" w:eastAsia="zh-CN"/>
              </w:rPr>
              <w:t>苏州工达服务外包有限公司</w:t>
            </w:r>
          </w:p>
        </w:tc>
        <w:tc>
          <w:tcPr>
            <w:tcW w:w="2706" w:type="dxa"/>
            <w:shd w:val="clear" w:color="auto" w:fill="92D050"/>
            <w:vAlign w:val="center"/>
          </w:tcPr>
          <w:p>
            <w:pPr>
              <w:jc w:val="center"/>
              <w:rPr>
                <w:rFonts w:ascii="仿宋" w:hAnsi="仿宋" w:eastAsia="仿宋"/>
                <w:szCs w:val="21"/>
              </w:rPr>
            </w:pPr>
            <w:r>
              <w:rPr>
                <w:rFonts w:hint="eastAsia" w:ascii="仿宋" w:hAnsi="仿宋" w:eastAsia="仿宋"/>
                <w:szCs w:val="21"/>
              </w:rPr>
              <w:t>0</w:t>
            </w:r>
          </w:p>
        </w:tc>
        <w:tc>
          <w:tcPr>
            <w:tcW w:w="2994" w:type="dxa"/>
            <w:shd w:val="clear" w:color="auto" w:fill="92D050"/>
            <w:vAlign w:val="center"/>
          </w:tcPr>
          <w:p>
            <w:pPr>
              <w:jc w:val="center"/>
              <w:rPr>
                <w:rFonts w:hint="eastAsia" w:ascii="仿宋" w:hAnsi="仿宋" w:eastAsia="仿宋"/>
                <w:szCs w:val="21"/>
                <w:lang w:val="en-US" w:eastAsia="zh-CN"/>
              </w:rPr>
            </w:pPr>
            <w:r>
              <w:rPr>
                <w:rFonts w:hint="eastAsia" w:ascii="仿宋" w:hAnsi="仿宋" w:eastAsia="仿宋"/>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280" w:type="dxa"/>
            <w:shd w:val="clear" w:color="auto" w:fill="92D050"/>
            <w:vAlign w:val="center"/>
          </w:tcPr>
          <w:p>
            <w:pPr>
              <w:jc w:val="center"/>
              <w:rPr>
                <w:rFonts w:hint="eastAsia" w:ascii="仿宋" w:hAnsi="仿宋" w:eastAsia="仿宋"/>
                <w:szCs w:val="21"/>
                <w:lang w:val="en-US" w:eastAsia="zh-CN"/>
              </w:rPr>
            </w:pPr>
            <w:r>
              <w:rPr>
                <w:rFonts w:hint="eastAsia" w:ascii="仿宋" w:hAnsi="仿宋" w:eastAsia="仿宋"/>
                <w:szCs w:val="21"/>
              </w:rPr>
              <w:t>承德花溪城</w:t>
            </w:r>
          </w:p>
        </w:tc>
        <w:tc>
          <w:tcPr>
            <w:tcW w:w="2706" w:type="dxa"/>
            <w:shd w:val="clear" w:color="auto" w:fill="92D050"/>
            <w:vAlign w:val="center"/>
          </w:tcPr>
          <w:p>
            <w:pPr>
              <w:jc w:val="center"/>
              <w:rPr>
                <w:rFonts w:hint="eastAsia" w:ascii="仿宋" w:hAnsi="仿宋" w:eastAsia="仿宋"/>
                <w:szCs w:val="21"/>
              </w:rPr>
            </w:pPr>
            <w:r>
              <w:rPr>
                <w:rFonts w:hint="eastAsia" w:ascii="仿宋" w:hAnsi="仿宋" w:eastAsia="仿宋"/>
                <w:szCs w:val="21"/>
              </w:rPr>
              <w:t>79</w:t>
            </w:r>
          </w:p>
        </w:tc>
        <w:tc>
          <w:tcPr>
            <w:tcW w:w="2994" w:type="dxa"/>
            <w:shd w:val="clear" w:color="auto" w:fill="92D050"/>
            <w:vAlign w:val="center"/>
          </w:tcPr>
          <w:p>
            <w:pPr>
              <w:jc w:val="center"/>
              <w:rPr>
                <w:rFonts w:hint="eastAsia" w:ascii="仿宋" w:hAnsi="仿宋" w:eastAsia="仿宋"/>
                <w:szCs w:val="21"/>
                <w:lang w:val="en-US" w:eastAsia="zh-CN"/>
              </w:rPr>
            </w:pPr>
            <w:r>
              <w:rPr>
                <w:rFonts w:hint="eastAsia" w:ascii="仿宋" w:hAnsi="仿宋" w:eastAsia="仿宋"/>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280" w:type="dxa"/>
            <w:shd w:val="clear" w:color="auto" w:fill="92D050"/>
            <w:vAlign w:val="center"/>
          </w:tcPr>
          <w:p>
            <w:pPr>
              <w:jc w:val="center"/>
              <w:rPr>
                <w:rFonts w:hint="eastAsia" w:ascii="仿宋" w:hAnsi="仿宋" w:eastAsia="仿宋"/>
                <w:szCs w:val="21"/>
                <w:lang w:val="en-US" w:eastAsia="zh-CN"/>
              </w:rPr>
            </w:pPr>
            <w:r>
              <w:rPr>
                <w:rFonts w:hint="eastAsia" w:ascii="仿宋" w:hAnsi="仿宋" w:eastAsia="仿宋"/>
                <w:szCs w:val="21"/>
              </w:rPr>
              <w:t>北京东升汇</w:t>
            </w:r>
          </w:p>
        </w:tc>
        <w:tc>
          <w:tcPr>
            <w:tcW w:w="2706" w:type="dxa"/>
            <w:shd w:val="clear" w:color="auto" w:fill="92D050"/>
            <w:vAlign w:val="center"/>
          </w:tcPr>
          <w:p>
            <w:pPr>
              <w:jc w:val="center"/>
              <w:rPr>
                <w:rFonts w:hint="eastAsia" w:ascii="仿宋" w:hAnsi="仿宋" w:eastAsia="仿宋"/>
                <w:szCs w:val="21"/>
              </w:rPr>
            </w:pPr>
            <w:r>
              <w:rPr>
                <w:rFonts w:hint="eastAsia" w:ascii="仿宋" w:hAnsi="仿宋" w:eastAsia="仿宋"/>
                <w:szCs w:val="21"/>
              </w:rPr>
              <w:t>15</w:t>
            </w:r>
          </w:p>
        </w:tc>
        <w:tc>
          <w:tcPr>
            <w:tcW w:w="2994" w:type="dxa"/>
            <w:shd w:val="clear" w:color="auto" w:fill="92D050"/>
            <w:vAlign w:val="center"/>
          </w:tcPr>
          <w:p>
            <w:pPr>
              <w:jc w:val="center"/>
              <w:rPr>
                <w:rFonts w:hint="eastAsia" w:ascii="仿宋" w:hAnsi="仿宋" w:eastAsia="仿宋"/>
                <w:szCs w:val="21"/>
                <w:lang w:val="en-US" w:eastAsia="zh-CN"/>
              </w:rPr>
            </w:pPr>
            <w:r>
              <w:rPr>
                <w:rFonts w:hint="eastAsia" w:ascii="仿宋" w:hAnsi="仿宋" w:eastAsia="仿宋"/>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3280" w:type="dxa"/>
            <w:shd w:val="clear" w:color="auto" w:fill="92D050"/>
            <w:vAlign w:val="center"/>
          </w:tcPr>
          <w:p>
            <w:pPr>
              <w:jc w:val="center"/>
              <w:rPr>
                <w:rFonts w:hint="eastAsia" w:ascii="仿宋" w:hAnsi="仿宋" w:eastAsia="仿宋"/>
                <w:szCs w:val="21"/>
                <w:lang w:val="en-US" w:eastAsia="zh-CN"/>
              </w:rPr>
            </w:pPr>
            <w:r>
              <w:rPr>
                <w:rFonts w:hint="eastAsia" w:ascii="仿宋" w:hAnsi="仿宋" w:eastAsia="仿宋"/>
                <w:szCs w:val="21"/>
              </w:rPr>
              <w:t>空军鹰正</w:t>
            </w:r>
          </w:p>
        </w:tc>
        <w:tc>
          <w:tcPr>
            <w:tcW w:w="2706" w:type="dxa"/>
            <w:shd w:val="clear" w:color="auto" w:fill="92D050"/>
            <w:vAlign w:val="center"/>
          </w:tcPr>
          <w:p>
            <w:pPr>
              <w:jc w:val="center"/>
              <w:rPr>
                <w:rFonts w:hint="eastAsia" w:ascii="仿宋" w:hAnsi="仿宋" w:eastAsia="仿宋"/>
                <w:szCs w:val="21"/>
              </w:rPr>
            </w:pPr>
            <w:r>
              <w:rPr>
                <w:rFonts w:hint="eastAsia" w:ascii="仿宋" w:hAnsi="仿宋" w:eastAsia="仿宋"/>
                <w:szCs w:val="21"/>
              </w:rPr>
              <w:t>7</w:t>
            </w:r>
          </w:p>
        </w:tc>
        <w:tc>
          <w:tcPr>
            <w:tcW w:w="2994" w:type="dxa"/>
            <w:shd w:val="clear" w:color="auto" w:fill="92D050"/>
            <w:vAlign w:val="center"/>
          </w:tcPr>
          <w:p>
            <w:pPr>
              <w:jc w:val="center"/>
              <w:rPr>
                <w:rFonts w:hint="eastAsia" w:ascii="仿宋" w:hAnsi="仿宋" w:eastAsia="仿宋"/>
                <w:szCs w:val="21"/>
                <w:lang w:val="en-US" w:eastAsia="zh-CN"/>
              </w:rPr>
            </w:pPr>
            <w:r>
              <w:rPr>
                <w:rFonts w:hint="eastAsia" w:ascii="仿宋" w:hAnsi="仿宋" w:eastAsia="仿宋"/>
                <w:szCs w:val="21"/>
                <w:lang w:val="en-US" w:eastAsia="zh-CN"/>
              </w:rPr>
              <w:t>0</w:t>
            </w:r>
          </w:p>
        </w:tc>
      </w:tr>
    </w:tbl>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4.2学生实习情况</w:t>
      </w:r>
    </w:p>
    <w:p>
      <w:pPr>
        <w:ind w:firstLine="600"/>
        <w:rPr>
          <w:rFonts w:ascii="仿宋_GB2312" w:hAnsi="仿宋_GB2312" w:eastAsia="仿宋_GB2312" w:cs="仿宋_GB2312"/>
          <w:color w:val="333333"/>
          <w:sz w:val="32"/>
          <w:szCs w:val="32"/>
          <w:shd w:val="clear" w:color="auto" w:fill="FFFFFF"/>
        </w:rPr>
      </w:pPr>
      <w:r>
        <w:rPr>
          <w:rFonts w:hint="eastAsia" w:eastAsia="仿宋_GB2312"/>
          <w:sz w:val="32"/>
          <w:lang w:eastAsia="zh-CN"/>
        </w:rPr>
        <w:t>学校在安排学生实习过程中，严格按着学校制定的《宽城满族自治县职业技术教育中心学生校外实习管理制度》及《宽城满族自治县职业技术教育中心学生校外实习管理制度》补充规定执行，在已建成实习基地基础之上，今年又开拓</w:t>
      </w:r>
      <w:r>
        <w:rPr>
          <w:rFonts w:hint="eastAsia" w:eastAsia="仿宋_GB2312"/>
          <w:sz w:val="32"/>
          <w:lang w:val="en-US" w:eastAsia="zh-CN"/>
        </w:rPr>
        <w:t>3</w:t>
      </w:r>
      <w:r>
        <w:rPr>
          <w:rFonts w:hint="eastAsia" w:eastAsia="仿宋_GB2312"/>
          <w:sz w:val="32"/>
          <w:lang w:eastAsia="zh-CN"/>
        </w:rPr>
        <w:t>个实习基地，分别是合众人（北京商务服务）有限公司、北京雅宝洁物业管理中心、苏州工达服务外包有限公司实习基地。实习情况是：合众人（北京商务服务）有限公司</w:t>
      </w:r>
      <w:r>
        <w:rPr>
          <w:rFonts w:hint="eastAsia" w:ascii="仿宋_GB2312" w:hAnsi="宋体" w:eastAsia="仿宋_GB2312" w:cs="宋体"/>
          <w:color w:val="000000"/>
          <w:kern w:val="0"/>
          <w:sz w:val="32"/>
          <w:szCs w:val="28"/>
          <w:lang w:eastAsia="zh-CN"/>
        </w:rPr>
        <w:t>有</w:t>
      </w:r>
      <w:r>
        <w:rPr>
          <w:rFonts w:hint="eastAsia" w:ascii="仿宋_GB2312" w:hAnsi="宋体" w:eastAsia="仿宋_GB2312" w:cs="宋体"/>
          <w:color w:val="000000"/>
          <w:kern w:val="0"/>
          <w:sz w:val="32"/>
          <w:szCs w:val="28"/>
          <w:lang w:val="en-US" w:eastAsia="zh-CN"/>
        </w:rPr>
        <w:t>9人顶岗实习，</w:t>
      </w:r>
      <w:r>
        <w:rPr>
          <w:rFonts w:hint="eastAsia" w:eastAsia="仿宋_GB2312"/>
          <w:sz w:val="32"/>
          <w:lang w:eastAsia="zh-CN"/>
        </w:rPr>
        <w:t>北京雅宝洁物业管理中心</w:t>
      </w:r>
      <w:r>
        <w:rPr>
          <w:rFonts w:hint="eastAsia" w:ascii="仿宋_GB2312" w:hAnsi="宋体" w:eastAsia="仿宋_GB2312" w:cs="宋体"/>
          <w:color w:val="000000"/>
          <w:kern w:val="0"/>
          <w:sz w:val="32"/>
          <w:szCs w:val="28"/>
          <w:lang w:eastAsia="zh-CN"/>
        </w:rPr>
        <w:t>有</w:t>
      </w:r>
      <w:r>
        <w:rPr>
          <w:rFonts w:hint="eastAsia" w:ascii="仿宋_GB2312" w:hAnsi="宋体" w:eastAsia="仿宋_GB2312" w:cs="宋体"/>
          <w:color w:val="000000"/>
          <w:kern w:val="0"/>
          <w:sz w:val="32"/>
          <w:szCs w:val="28"/>
          <w:lang w:val="en-US" w:eastAsia="zh-CN"/>
        </w:rPr>
        <w:t>6人</w:t>
      </w:r>
      <w:r>
        <w:rPr>
          <w:rFonts w:hint="eastAsia" w:ascii="仿宋_GB2312" w:hAnsi="宋体" w:eastAsia="仿宋_GB2312" w:cs="宋体"/>
          <w:color w:val="000000"/>
          <w:kern w:val="0"/>
          <w:sz w:val="32"/>
          <w:szCs w:val="28"/>
          <w:lang w:eastAsia="zh-CN"/>
        </w:rPr>
        <w:t>顶岗实习，</w:t>
      </w:r>
      <w:r>
        <w:rPr>
          <w:rFonts w:hint="eastAsia" w:eastAsia="仿宋_GB2312"/>
          <w:sz w:val="32"/>
          <w:lang w:eastAsia="zh-CN"/>
        </w:rPr>
        <w:t>苏州工达服务外包有限公司有</w:t>
      </w:r>
      <w:r>
        <w:rPr>
          <w:rFonts w:hint="eastAsia" w:eastAsia="仿宋_GB2312"/>
          <w:sz w:val="32"/>
          <w:lang w:val="en-US" w:eastAsia="zh-CN"/>
        </w:rPr>
        <w:t>45人顶岗实习，</w:t>
      </w:r>
      <w:r>
        <w:rPr>
          <w:rFonts w:hint="eastAsia" w:ascii="仿宋_GB2312" w:hAnsi="宋体" w:eastAsia="仿宋_GB2312" w:cs="宋体"/>
          <w:color w:val="000000"/>
          <w:kern w:val="0"/>
          <w:sz w:val="32"/>
          <w:szCs w:val="28"/>
          <w:lang w:eastAsia="zh-CN"/>
        </w:rPr>
        <w:t>北京福田戴姆勒汽车有限公司有</w:t>
      </w:r>
      <w:r>
        <w:rPr>
          <w:rFonts w:hint="eastAsia" w:ascii="仿宋_GB2312" w:hAnsi="宋体" w:eastAsia="仿宋_GB2312" w:cs="宋体"/>
          <w:color w:val="000000"/>
          <w:kern w:val="0"/>
          <w:sz w:val="32"/>
          <w:szCs w:val="28"/>
          <w:lang w:val="en-US" w:eastAsia="zh-CN"/>
        </w:rPr>
        <w:t>102人顶岗实习。</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4.3集团化办学情况</w:t>
      </w:r>
    </w:p>
    <w:p>
      <w:pPr>
        <w:ind w:firstLine="600"/>
        <w:rPr>
          <w:rFonts w:hint="eastAsia" w:eastAsia="仿宋_GB2312"/>
          <w:sz w:val="32"/>
          <w:lang w:eastAsia="zh-CN"/>
        </w:rPr>
      </w:pPr>
      <w:r>
        <w:rPr>
          <w:rFonts w:hint="eastAsia" w:eastAsia="仿宋_GB2312"/>
          <w:sz w:val="32"/>
          <w:lang w:val="en-US" w:eastAsia="zh-CN"/>
        </w:rPr>
        <w:t>继</w:t>
      </w:r>
      <w:r>
        <w:rPr>
          <w:rFonts w:hint="eastAsia" w:eastAsia="仿宋_GB2312"/>
          <w:sz w:val="32"/>
          <w:lang w:eastAsia="zh-CN"/>
        </w:rPr>
        <w:t>2014年成为承德装备制造职业教育集团理事单位之后。今年又相继成为河北旅游职业教育集团、河北省现代服务业职业教育集团、河北省电子商务职业教育集团理事单位。同时，学校又开启校校联合办学模式，分别与河北旅游职业学院、天津红星中专签署联合协议，借助高校和直辖市职业中专资源优势，为我校提供专业对口的技术支持，同时为学校学生提供良好的发展空间，促进了我校快速发展。多年来为两个学校输送培养技能型实用人才</w:t>
      </w:r>
      <w:r>
        <w:rPr>
          <w:rFonts w:hint="eastAsia" w:eastAsia="仿宋_GB2312"/>
          <w:sz w:val="32"/>
          <w:lang w:val="en-US" w:eastAsia="zh-CN"/>
        </w:rPr>
        <w:t>150</w:t>
      </w:r>
      <w:r>
        <w:rPr>
          <w:rFonts w:hint="eastAsia" w:eastAsia="仿宋_GB2312"/>
          <w:sz w:val="32"/>
          <w:lang w:eastAsia="zh-CN"/>
        </w:rPr>
        <w:t>多人，形成了校校联办双赢局面，有效促进了我校职业教育体系的完善和规模的扩大。</w:t>
      </w:r>
    </w:p>
    <w:p>
      <w:pPr>
        <w:rPr>
          <w:rFonts w:hint="eastAsia" w:ascii="宋体" w:hAnsi="宋体" w:eastAsia="仿宋_GB2312" w:cs="宋体"/>
          <w:sz w:val="30"/>
          <w:szCs w:val="18"/>
          <w:lang w:eastAsia="zh-CN"/>
        </w:rPr>
      </w:pPr>
      <w:r>
        <w:rPr>
          <w:rFonts w:hint="eastAsia" w:ascii="宋体" w:hAnsi="宋体" w:eastAsia="仿宋_GB2312" w:cs="宋体"/>
          <w:sz w:val="30"/>
          <w:szCs w:val="18"/>
          <w:lang w:eastAsia="zh-CN"/>
        </w:rPr>
        <w:drawing>
          <wp:inline distT="0" distB="0" distL="114300" distR="114300">
            <wp:extent cx="5948680" cy="2741295"/>
            <wp:effectExtent l="0" t="0" r="13970" b="1905"/>
            <wp:docPr id="10" name="图片 10" descr="微信图片_2018121015163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81210151637_副本"/>
                    <pic:cNvPicPr>
                      <a:picLocks noChangeAspect="1"/>
                    </pic:cNvPicPr>
                  </pic:nvPicPr>
                  <pic:blipFill>
                    <a:blip r:embed="rId39"/>
                    <a:stretch>
                      <a:fillRect/>
                    </a:stretch>
                  </pic:blipFill>
                  <pic:spPr>
                    <a:xfrm>
                      <a:off x="0" y="0"/>
                      <a:ext cx="5948680" cy="2741295"/>
                    </a:xfrm>
                    <a:prstGeom prst="rect">
                      <a:avLst/>
                    </a:prstGeom>
                  </pic:spPr>
                </pic:pic>
              </a:graphicData>
            </a:graphic>
          </wp:inline>
        </w:drawing>
      </w:r>
    </w:p>
    <w:p>
      <w:pPr>
        <w:rPr>
          <w:rFonts w:ascii="黑体" w:hAnsi="黑体" w:eastAsia="黑体" w:cs="黑体"/>
          <w:sz w:val="32"/>
          <w:szCs w:val="32"/>
        </w:rPr>
      </w:pPr>
      <w:r>
        <w:rPr>
          <w:rFonts w:hint="eastAsia" w:ascii="黑体" w:hAnsi="黑体" w:eastAsia="黑体" w:cs="黑体"/>
          <w:sz w:val="32"/>
          <w:szCs w:val="32"/>
        </w:rPr>
        <w:t>5.社会贡献</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5.1技术技能人才培养</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学校紧紧围绕“以服务为宗旨 以就业为导向”的办学宗旨，加强校外实训基地建设，现有校外实习实训基地20余家。建校以来共有6000余人进入宽城县天宝矿业集团、兆丰钢铁集团、京城矿业集团等多家企业，2017年又与承德花溪城生态旅游发展有限公司、北京东升汇俱乐部管理有限公司签署实习基地协议，还有部分毕业生进入北京知名企业</w:t>
      </w:r>
      <w:r>
        <w:rPr>
          <w:rFonts w:hint="eastAsia" w:ascii="仿宋_GB2312" w:hAnsi="仿宋_GB2312" w:eastAsia="仿宋_GB2312" w:cs="仿宋_GB2312"/>
          <w:color w:val="333333"/>
          <w:sz w:val="32"/>
          <w:szCs w:val="32"/>
          <w:shd w:val="clear" w:color="auto" w:fill="FFFFFF"/>
          <w:lang w:eastAsia="zh-CN"/>
        </w:rPr>
        <w:t>；</w:t>
      </w:r>
      <w:r>
        <w:rPr>
          <w:rFonts w:hint="eastAsia" w:ascii="仿宋_GB2312" w:hAnsi="仿宋_GB2312" w:eastAsia="仿宋_GB2312" w:cs="仿宋_GB2312"/>
          <w:color w:val="333333"/>
          <w:sz w:val="32"/>
          <w:szCs w:val="32"/>
          <w:shd w:val="clear" w:color="auto" w:fill="FFFFFF"/>
          <w:lang w:val="en-US" w:eastAsia="zh-CN"/>
        </w:rPr>
        <w:t>2018年，与</w:t>
      </w:r>
      <w:r>
        <w:rPr>
          <w:rFonts w:hint="eastAsia" w:eastAsia="仿宋_GB2312"/>
          <w:sz w:val="32"/>
          <w:lang w:eastAsia="zh-CN"/>
        </w:rPr>
        <w:t>合众人（北京商务服务）有限公司、北京雅宝洁物业管理中心、苏州工达服务外包有限公司</w:t>
      </w:r>
      <w:r>
        <w:rPr>
          <w:rFonts w:hint="eastAsia" w:eastAsia="仿宋_GB2312"/>
          <w:sz w:val="32"/>
          <w:lang w:val="en-US" w:eastAsia="zh-CN"/>
        </w:rPr>
        <w:t>开展顶岗实习合作</w:t>
      </w:r>
      <w:r>
        <w:rPr>
          <w:rFonts w:hint="eastAsia" w:ascii="仿宋_GB2312" w:hAnsi="仿宋_GB2312" w:eastAsia="仿宋_GB2312" w:cs="仿宋_GB2312"/>
          <w:color w:val="333333"/>
          <w:sz w:val="32"/>
          <w:szCs w:val="32"/>
          <w:shd w:val="clear" w:color="auto" w:fill="FFFFFF"/>
        </w:rPr>
        <w:t>。其中，北京福田戴姆勒汽车有限公司、国家空军鹰正接待站、全国人大会议中心等是学校长期顶岗实习和就业基地，实习就业的学生待遇较高，月平均工资3000元以上，各用人单位满意度达到79.25%。</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5.2社会服务</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5.2.1培训服务</w:t>
      </w:r>
    </w:p>
    <w:p>
      <w:pPr>
        <w:ind w:firstLine="640" w:firstLineChars="200"/>
        <w:jc w:val="left"/>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201</w:t>
      </w:r>
      <w:r>
        <w:rPr>
          <w:rFonts w:hint="eastAsia" w:ascii="仿宋_GB2312" w:hAnsi="仿宋_GB2312" w:eastAsia="仿宋_GB2312" w:cs="仿宋_GB2312"/>
          <w:color w:val="333333"/>
          <w:sz w:val="32"/>
          <w:szCs w:val="32"/>
          <w:shd w:val="clear" w:color="auto" w:fill="FFFFFF"/>
          <w:lang w:val="en-US" w:eastAsia="zh-CN"/>
        </w:rPr>
        <w:t>8</w:t>
      </w:r>
      <w:r>
        <w:rPr>
          <w:rFonts w:hint="eastAsia" w:ascii="仿宋_GB2312" w:hAnsi="仿宋_GB2312" w:eastAsia="仿宋_GB2312" w:cs="仿宋_GB2312"/>
          <w:color w:val="333333"/>
          <w:sz w:val="32"/>
          <w:szCs w:val="32"/>
          <w:shd w:val="clear" w:color="auto" w:fill="FFFFFF"/>
        </w:rPr>
        <w:t>年学校充分发挥师资、设备条件</w:t>
      </w:r>
      <w:r>
        <w:rPr>
          <w:rFonts w:hint="eastAsia" w:ascii="仿宋_GB2312" w:hAnsi="仿宋_GB2312" w:eastAsia="仿宋_GB2312" w:cs="仿宋_GB2312"/>
          <w:color w:val="333333"/>
          <w:sz w:val="32"/>
          <w:szCs w:val="32"/>
          <w:shd w:val="clear" w:color="auto" w:fill="FFFFFF"/>
          <w:lang w:eastAsia="zh-CN"/>
        </w:rPr>
        <w:t>、培训基地</w:t>
      </w:r>
      <w:r>
        <w:rPr>
          <w:rFonts w:hint="eastAsia" w:ascii="仿宋_GB2312" w:hAnsi="仿宋_GB2312" w:eastAsia="仿宋_GB2312" w:cs="仿宋_GB2312"/>
          <w:color w:val="333333"/>
          <w:sz w:val="32"/>
          <w:szCs w:val="32"/>
          <w:shd w:val="clear" w:color="auto" w:fill="FFFFFF"/>
        </w:rPr>
        <w:t>等资源优势，积极与县域各大超市、</w:t>
      </w:r>
      <w:r>
        <w:rPr>
          <w:rFonts w:hint="eastAsia" w:ascii="仿宋_GB2312" w:hAnsi="仿宋_GB2312" w:eastAsia="仿宋_GB2312" w:cs="仿宋_GB2312"/>
          <w:color w:val="333333"/>
          <w:sz w:val="32"/>
          <w:szCs w:val="32"/>
          <w:shd w:val="clear" w:color="auto" w:fill="FFFFFF"/>
          <w:lang w:eastAsia="zh-CN"/>
        </w:rPr>
        <w:t>交通</w:t>
      </w:r>
      <w:r>
        <w:rPr>
          <w:rFonts w:hint="eastAsia" w:ascii="仿宋_GB2312" w:hAnsi="仿宋_GB2312" w:eastAsia="仿宋_GB2312" w:cs="仿宋_GB2312"/>
          <w:color w:val="333333"/>
          <w:sz w:val="32"/>
          <w:szCs w:val="32"/>
          <w:shd w:val="clear" w:color="auto" w:fill="FFFFFF"/>
        </w:rPr>
        <w:t>局、</w:t>
      </w:r>
      <w:r>
        <w:rPr>
          <w:rFonts w:hint="eastAsia" w:ascii="仿宋_GB2312" w:hAnsi="仿宋_GB2312" w:eastAsia="仿宋_GB2312" w:cs="仿宋_GB2312"/>
          <w:color w:val="333333"/>
          <w:sz w:val="32"/>
          <w:szCs w:val="32"/>
          <w:shd w:val="clear" w:color="auto" w:fill="FFFFFF"/>
          <w:lang w:eastAsia="zh-CN"/>
        </w:rPr>
        <w:t>县残联及广联达软件公司</w:t>
      </w:r>
      <w:r>
        <w:rPr>
          <w:rFonts w:hint="eastAsia" w:ascii="仿宋_GB2312" w:hAnsi="仿宋_GB2312" w:eastAsia="仿宋_GB2312" w:cs="仿宋_GB2312"/>
          <w:color w:val="333333"/>
          <w:sz w:val="32"/>
          <w:szCs w:val="32"/>
          <w:shd w:val="clear" w:color="auto" w:fill="FFFFFF"/>
        </w:rPr>
        <w:t>开展</w:t>
      </w:r>
      <w:r>
        <w:rPr>
          <w:rFonts w:hint="eastAsia" w:ascii="仿宋_GB2312" w:hAnsi="仿宋_GB2312" w:eastAsia="仿宋_GB2312" w:cs="仿宋_GB2312"/>
          <w:color w:val="333333"/>
          <w:sz w:val="32"/>
          <w:szCs w:val="32"/>
          <w:shd w:val="clear" w:color="auto" w:fill="FFFFFF"/>
          <w:lang w:eastAsia="zh-CN"/>
        </w:rPr>
        <w:t>新员工入职培训、岗位职责培训、入职规范培训、具体销售技能培训、</w:t>
      </w:r>
      <w:r>
        <w:rPr>
          <w:rFonts w:hint="eastAsia" w:ascii="仿宋_GB2312" w:hAnsi="仿宋_GB2312" w:eastAsia="仿宋_GB2312" w:cs="仿宋_GB2312"/>
          <w:color w:val="333333"/>
          <w:sz w:val="32"/>
          <w:szCs w:val="32"/>
          <w:shd w:val="clear" w:color="auto" w:fill="FFFFFF"/>
          <w:lang w:val="en-US" w:eastAsia="zh-CN"/>
        </w:rPr>
        <w:t>道路危险货物运输安全培</w:t>
      </w:r>
      <w:r>
        <w:rPr>
          <w:rFonts w:hint="eastAsia" w:ascii="仿宋_GB2312" w:hAnsi="仿宋_GB2312" w:eastAsia="仿宋_GB2312" w:cs="仿宋_GB2312"/>
          <w:color w:val="333333"/>
          <w:sz w:val="32"/>
          <w:szCs w:val="32"/>
          <w:shd w:val="clear" w:color="auto" w:fill="FFFFFF"/>
          <w:lang w:eastAsia="zh-CN"/>
        </w:rPr>
        <w:t>训</w:t>
      </w:r>
      <w:r>
        <w:rPr>
          <w:rFonts w:hint="eastAsia" w:ascii="仿宋_GB2312" w:hAnsi="仿宋_GB2312" w:eastAsia="仿宋_GB2312" w:cs="仿宋_GB2312"/>
          <w:color w:val="333333"/>
          <w:sz w:val="32"/>
          <w:szCs w:val="32"/>
          <w:shd w:val="clear" w:color="auto" w:fill="FFFFFF"/>
          <w:lang w:val="en-US" w:eastAsia="zh-CN"/>
        </w:rPr>
        <w:t>、 广联达软件公司云计量交底培训和宽城县残联农村实用技术</w:t>
      </w:r>
      <w:r>
        <w:rPr>
          <w:rFonts w:hint="eastAsia" w:ascii="仿宋_GB2312" w:hAnsi="仿宋_GB2312" w:eastAsia="仿宋_GB2312" w:cs="仿宋_GB2312"/>
          <w:color w:val="333333"/>
          <w:sz w:val="32"/>
          <w:szCs w:val="32"/>
          <w:shd w:val="clear" w:color="auto" w:fill="FFFFFF"/>
        </w:rPr>
        <w:t>等培训。全年举办培训</w:t>
      </w:r>
      <w:r>
        <w:rPr>
          <w:rFonts w:hint="eastAsia" w:ascii="仿宋_GB2312" w:hAnsi="仿宋_GB2312" w:eastAsia="仿宋_GB2312" w:cs="仿宋_GB2312"/>
          <w:color w:val="333333"/>
          <w:sz w:val="32"/>
          <w:szCs w:val="32"/>
          <w:shd w:val="clear" w:color="auto" w:fill="FFFFFF"/>
          <w:lang w:val="en-US" w:eastAsia="zh-CN"/>
        </w:rPr>
        <w:t>16</w:t>
      </w:r>
      <w:r>
        <w:rPr>
          <w:rFonts w:hint="eastAsia" w:ascii="仿宋_GB2312" w:hAnsi="仿宋_GB2312" w:eastAsia="仿宋_GB2312" w:cs="仿宋_GB2312"/>
          <w:color w:val="333333"/>
          <w:sz w:val="32"/>
          <w:szCs w:val="32"/>
          <w:shd w:val="clear" w:color="auto" w:fill="FFFFFF"/>
        </w:rPr>
        <w:t xml:space="preserve"> 场，</w:t>
      </w:r>
      <w:r>
        <w:rPr>
          <w:rFonts w:hint="eastAsia" w:ascii="仿宋_GB2312" w:hAnsi="仿宋_GB2312" w:eastAsia="仿宋_GB2312" w:cs="仿宋_GB2312"/>
          <w:color w:val="333333"/>
          <w:sz w:val="32"/>
          <w:szCs w:val="32"/>
          <w:shd w:val="clear" w:color="auto" w:fill="FFFFFF"/>
          <w:lang w:val="en-US" w:eastAsia="zh-CN"/>
        </w:rPr>
        <w:t>2520</w:t>
      </w:r>
      <w:r>
        <w:rPr>
          <w:rFonts w:hint="eastAsia" w:ascii="仿宋_GB2312" w:hAnsi="仿宋_GB2312" w:eastAsia="仿宋_GB2312" w:cs="仿宋_GB2312"/>
          <w:color w:val="333333"/>
          <w:sz w:val="32"/>
          <w:szCs w:val="32"/>
          <w:shd w:val="clear" w:color="auto" w:fill="FFFFFF"/>
        </w:rPr>
        <w:t>人次参加培训</w:t>
      </w:r>
      <w:r>
        <w:rPr>
          <w:rFonts w:hint="eastAsia" w:ascii="仿宋_GB2312" w:hAnsi="仿宋_GB2312" w:eastAsia="仿宋_GB2312" w:cs="仿宋_GB2312"/>
          <w:color w:val="333333"/>
          <w:sz w:val="32"/>
          <w:szCs w:val="32"/>
          <w:shd w:val="clear" w:color="auto" w:fill="FFFFFF"/>
          <w:lang w:val="en-US" w:eastAsia="zh-CN"/>
        </w:rPr>
        <w:t>;</w:t>
      </w:r>
      <w:r>
        <w:rPr>
          <w:rFonts w:hint="eastAsia" w:ascii="仿宋_GB2312" w:hAnsi="仿宋_GB2312" w:eastAsia="仿宋_GB2312" w:cs="仿宋_GB2312"/>
          <w:color w:val="333333"/>
          <w:sz w:val="32"/>
          <w:szCs w:val="32"/>
          <w:shd w:val="clear" w:color="auto" w:fill="FFFFFF"/>
          <w:lang w:eastAsia="zh-CN"/>
        </w:rPr>
        <w:t>我校在宽城满娘手工刺绣有限公司进行满族手工刺绣技能培训达</w:t>
      </w:r>
      <w:r>
        <w:rPr>
          <w:rFonts w:hint="eastAsia" w:ascii="仿宋_GB2312" w:hAnsi="仿宋_GB2312" w:eastAsia="仿宋_GB2312" w:cs="仿宋_GB2312"/>
          <w:color w:val="333333"/>
          <w:sz w:val="32"/>
          <w:szCs w:val="32"/>
          <w:shd w:val="clear" w:color="auto" w:fill="FFFFFF"/>
          <w:lang w:val="en-US" w:eastAsia="zh-CN"/>
        </w:rPr>
        <w:t>1320人次；根据社会需求进行了电工技能和电子商务培训。全年</w:t>
      </w:r>
      <w:r>
        <w:rPr>
          <w:rFonts w:hint="eastAsia" w:ascii="仿宋_GB2312" w:hAnsi="仿宋_GB2312" w:eastAsia="仿宋_GB2312" w:cs="仿宋_GB2312"/>
          <w:color w:val="333333"/>
          <w:sz w:val="32"/>
          <w:szCs w:val="32"/>
          <w:shd w:val="clear" w:color="auto" w:fill="FFFFFF"/>
        </w:rPr>
        <w:t>比201</w:t>
      </w:r>
      <w:r>
        <w:rPr>
          <w:rFonts w:hint="eastAsia" w:ascii="仿宋_GB2312" w:hAnsi="仿宋_GB2312" w:eastAsia="仿宋_GB2312" w:cs="仿宋_GB2312"/>
          <w:color w:val="333333"/>
          <w:sz w:val="32"/>
          <w:szCs w:val="32"/>
          <w:shd w:val="clear" w:color="auto" w:fill="FFFFFF"/>
          <w:lang w:val="en-US" w:eastAsia="zh-CN"/>
        </w:rPr>
        <w:t>7</w:t>
      </w:r>
      <w:r>
        <w:rPr>
          <w:rFonts w:hint="eastAsia" w:ascii="仿宋_GB2312" w:hAnsi="仿宋_GB2312" w:eastAsia="仿宋_GB2312" w:cs="仿宋_GB2312"/>
          <w:color w:val="333333"/>
          <w:sz w:val="32"/>
          <w:szCs w:val="32"/>
          <w:shd w:val="clear" w:color="auto" w:fill="FFFFFF"/>
        </w:rPr>
        <w:t>年</w:t>
      </w:r>
      <w:r>
        <w:rPr>
          <w:rFonts w:hint="eastAsia" w:ascii="仿宋_GB2312" w:hAnsi="仿宋_GB2312" w:eastAsia="仿宋_GB2312" w:cs="仿宋_GB2312"/>
          <w:color w:val="333333"/>
          <w:sz w:val="32"/>
          <w:szCs w:val="32"/>
          <w:shd w:val="clear" w:color="auto" w:fill="FFFFFF"/>
          <w:lang w:eastAsia="zh-CN"/>
        </w:rPr>
        <w:t>的</w:t>
      </w:r>
      <w:r>
        <w:rPr>
          <w:rFonts w:hint="eastAsia" w:ascii="仿宋_GB2312" w:hAnsi="仿宋_GB2312" w:eastAsia="仿宋_GB2312" w:cs="仿宋_GB2312"/>
          <w:color w:val="333333"/>
          <w:sz w:val="32"/>
          <w:szCs w:val="32"/>
          <w:shd w:val="clear" w:color="auto" w:fill="FFFFFF"/>
        </w:rPr>
        <w:t>3</w:t>
      </w:r>
      <w:r>
        <w:rPr>
          <w:rFonts w:hint="eastAsia" w:ascii="仿宋_GB2312" w:hAnsi="仿宋_GB2312" w:eastAsia="仿宋_GB2312" w:cs="仿宋_GB2312"/>
          <w:color w:val="333333"/>
          <w:sz w:val="32"/>
          <w:szCs w:val="32"/>
          <w:shd w:val="clear" w:color="auto" w:fill="FFFFFF"/>
          <w:lang w:val="en-US" w:eastAsia="zh-CN"/>
        </w:rPr>
        <w:t>79</w:t>
      </w:r>
      <w:r>
        <w:rPr>
          <w:rFonts w:hint="eastAsia" w:ascii="仿宋_GB2312" w:hAnsi="仿宋_GB2312" w:eastAsia="仿宋_GB2312" w:cs="仿宋_GB2312"/>
          <w:color w:val="333333"/>
          <w:sz w:val="32"/>
          <w:szCs w:val="32"/>
          <w:shd w:val="clear" w:color="auto" w:fill="FFFFFF"/>
        </w:rPr>
        <w:t>5人次增加了</w:t>
      </w:r>
      <w:r>
        <w:rPr>
          <w:rFonts w:hint="eastAsia" w:ascii="仿宋_GB2312" w:hAnsi="仿宋_GB2312" w:eastAsia="仿宋_GB2312" w:cs="仿宋_GB2312"/>
          <w:color w:val="333333"/>
          <w:sz w:val="32"/>
          <w:szCs w:val="32"/>
          <w:shd w:val="clear" w:color="auto" w:fill="FFFFFF"/>
          <w:lang w:val="en-US" w:eastAsia="zh-CN"/>
        </w:rPr>
        <w:t>45</w:t>
      </w:r>
      <w:r>
        <w:rPr>
          <w:rFonts w:hint="eastAsia" w:ascii="仿宋_GB2312" w:hAnsi="仿宋_GB2312" w:eastAsia="仿宋_GB2312" w:cs="仿宋_GB2312"/>
          <w:color w:val="333333"/>
          <w:sz w:val="32"/>
          <w:szCs w:val="32"/>
          <w:shd w:val="clear" w:color="auto" w:fill="FFFFFF"/>
        </w:rPr>
        <w:t>人次，增长率为</w:t>
      </w:r>
      <w:r>
        <w:rPr>
          <w:rFonts w:hint="eastAsia" w:ascii="仿宋_GB2312" w:hAnsi="仿宋_GB2312" w:eastAsia="仿宋_GB2312" w:cs="仿宋_GB2312"/>
          <w:color w:val="333333"/>
          <w:sz w:val="32"/>
          <w:szCs w:val="32"/>
          <w:shd w:val="clear" w:color="auto" w:fill="FFFFFF"/>
          <w:lang w:val="en-US" w:eastAsia="zh-CN"/>
        </w:rPr>
        <w:t>1.2</w:t>
      </w:r>
      <w:r>
        <w:rPr>
          <w:rFonts w:hint="eastAsia" w:ascii="仿宋_GB2312" w:hAnsi="仿宋_GB2312" w:eastAsia="仿宋_GB2312" w:cs="仿宋_GB2312"/>
          <w:color w:val="333333"/>
          <w:sz w:val="32"/>
          <w:szCs w:val="32"/>
          <w:shd w:val="clear" w:color="auto" w:fill="FFFFFF"/>
        </w:rPr>
        <w:t>%。无论从培训规模还是培训种类上都比去年有所提高。</w:t>
      </w:r>
    </w:p>
    <w:p>
      <w:pPr>
        <w:jc w:val="left"/>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表18：</w:t>
      </w:r>
    </w:p>
    <w:tbl>
      <w:tblPr>
        <w:tblStyle w:val="10"/>
        <w:tblW w:w="8912" w:type="dxa"/>
        <w:tblInd w:w="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287"/>
        <w:gridCol w:w="46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3" w:hRule="atLeast"/>
        </w:trPr>
        <w:tc>
          <w:tcPr>
            <w:tcW w:w="4287"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vAlign w:val="center"/>
          </w:tcPr>
          <w:p>
            <w:pPr>
              <w:jc w:val="center"/>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培训内容/方向</w:t>
            </w:r>
          </w:p>
        </w:tc>
        <w:tc>
          <w:tcPr>
            <w:tcW w:w="462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vAlign w:val="center"/>
          </w:tcPr>
          <w:p>
            <w:pPr>
              <w:jc w:val="center"/>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培训人次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3" w:hRule="atLeast"/>
        </w:trPr>
        <w:tc>
          <w:tcPr>
            <w:tcW w:w="42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left"/>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新员工入职培训</w:t>
            </w:r>
          </w:p>
        </w:tc>
        <w:tc>
          <w:tcPr>
            <w:tcW w:w="462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3" w:hRule="atLeast"/>
        </w:trPr>
        <w:tc>
          <w:tcPr>
            <w:tcW w:w="42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left"/>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员工岗位职责及行为规范</w:t>
            </w:r>
          </w:p>
        </w:tc>
        <w:tc>
          <w:tcPr>
            <w:tcW w:w="462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442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3" w:hRule="atLeast"/>
        </w:trPr>
        <w:tc>
          <w:tcPr>
            <w:tcW w:w="42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left"/>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收银员及客服业务</w:t>
            </w:r>
          </w:p>
        </w:tc>
        <w:tc>
          <w:tcPr>
            <w:tcW w:w="462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443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3" w:hRule="atLeast"/>
        </w:trPr>
        <w:tc>
          <w:tcPr>
            <w:tcW w:w="42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left"/>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业务培训考试</w:t>
            </w:r>
          </w:p>
        </w:tc>
        <w:tc>
          <w:tcPr>
            <w:tcW w:w="462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455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3" w:hRule="atLeast"/>
        </w:trPr>
        <w:tc>
          <w:tcPr>
            <w:tcW w:w="42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left"/>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道路危险货物运输安全培训</w:t>
            </w:r>
          </w:p>
        </w:tc>
        <w:tc>
          <w:tcPr>
            <w:tcW w:w="462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3" w:hRule="atLeast"/>
        </w:trPr>
        <w:tc>
          <w:tcPr>
            <w:tcW w:w="42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left"/>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广联达软件公司云计量交底培训</w:t>
            </w:r>
          </w:p>
        </w:tc>
        <w:tc>
          <w:tcPr>
            <w:tcW w:w="462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3" w:hRule="atLeast"/>
        </w:trPr>
        <w:tc>
          <w:tcPr>
            <w:tcW w:w="42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left"/>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县残联农业技术培训</w:t>
            </w:r>
          </w:p>
        </w:tc>
        <w:tc>
          <w:tcPr>
            <w:tcW w:w="462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546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3" w:hRule="atLeast"/>
        </w:trPr>
        <w:tc>
          <w:tcPr>
            <w:tcW w:w="42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left"/>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满娘手工刺绣技能</w:t>
            </w:r>
          </w:p>
        </w:tc>
        <w:tc>
          <w:tcPr>
            <w:tcW w:w="462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1320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53" w:hRule="atLeast"/>
        </w:trPr>
        <w:tc>
          <w:tcPr>
            <w:tcW w:w="4287"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left"/>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全年总计</w:t>
            </w:r>
          </w:p>
        </w:tc>
        <w:tc>
          <w:tcPr>
            <w:tcW w:w="4625"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ascii="仿宋_GB2312" w:hAnsi="仿宋_GB2312" w:eastAsia="仿宋_GB2312" w:cs="仿宋_GB2312"/>
                <w:color w:val="333333"/>
                <w:sz w:val="21"/>
                <w:szCs w:val="21"/>
                <w:shd w:val="clear" w:color="auto" w:fill="FFFFFF"/>
                <w:lang w:val="en-US" w:eastAsia="zh-CN"/>
              </w:rPr>
            </w:pPr>
            <w:r>
              <w:rPr>
                <w:rFonts w:hint="eastAsia" w:ascii="仿宋_GB2312" w:hAnsi="仿宋_GB2312" w:eastAsia="仿宋_GB2312" w:cs="仿宋_GB2312"/>
                <w:color w:val="333333"/>
                <w:sz w:val="21"/>
                <w:szCs w:val="21"/>
                <w:shd w:val="clear" w:color="auto" w:fill="FFFFFF"/>
                <w:lang w:val="en-US" w:eastAsia="zh-CN"/>
              </w:rPr>
              <w:t>3840</w:t>
            </w:r>
          </w:p>
        </w:tc>
      </w:tr>
    </w:tbl>
    <w:p>
      <w:pPr>
        <w:jc w:val="left"/>
        <w:rPr>
          <w:rFonts w:hint="eastAsia" w:ascii="仿宋_GB2312" w:hAnsi="仿宋_GB2312" w:eastAsia="仿宋_GB2312" w:cs="仿宋_GB2312"/>
          <w:color w:val="333333"/>
          <w:sz w:val="21"/>
          <w:szCs w:val="21"/>
          <w:shd w:val="clear" w:color="auto" w:fill="FFFFFF"/>
          <w:lang w:val="en-US" w:eastAsia="zh-CN"/>
        </w:rPr>
      </w:pPr>
    </w:p>
    <w:p>
      <w:pPr>
        <w:rPr>
          <w:rFonts w:hint="eastAsia" w:ascii="仿宋_GB2312" w:hAnsi="仿宋_GB2312" w:eastAsia="仿宋_GB2312" w:cs="仿宋_GB2312"/>
          <w:color w:val="333333"/>
          <w:sz w:val="32"/>
          <w:szCs w:val="32"/>
          <w:shd w:val="clear" w:color="auto" w:fill="FFFFFF"/>
        </w:rPr>
      </w:pPr>
      <w:r>
        <w:drawing>
          <wp:inline distT="0" distB="0" distL="114300" distR="114300">
            <wp:extent cx="5730240" cy="2703830"/>
            <wp:effectExtent l="13970" t="0" r="27940" b="25400"/>
            <wp:docPr id="2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5.2.2技术服务</w:t>
      </w:r>
    </w:p>
    <w:p>
      <w:pPr>
        <w:pStyle w:val="2"/>
        <w:ind w:firstLine="627" w:firstLineChars="196"/>
        <w:rPr>
          <w:rFonts w:ascii="仿宋_GB2312" w:hAnsi="仿宋" w:eastAsia="仿宋_GB2312"/>
          <w:b/>
          <w:sz w:val="32"/>
          <w:szCs w:val="32"/>
        </w:rPr>
      </w:pPr>
      <w:r>
        <w:rPr>
          <w:rFonts w:hint="eastAsia" w:ascii="仿宋_GB2312" w:hAnsi="仿宋_GB2312" w:eastAsia="仿宋_GB2312" w:cs="仿宋_GB2312"/>
          <w:color w:val="333333"/>
          <w:sz w:val="32"/>
          <w:szCs w:val="32"/>
          <w:shd w:val="clear" w:color="auto" w:fill="FFFFFF"/>
        </w:rPr>
        <w:t>以服务现代农业发展和社会主义新农村建设为宗旨，以促进农业增效，农民增收、农业发展为导向，以全面提升务农人员综合素质、职业技能和农业生产经营能力为目标，加快新型职业农民培养，坚持培养与精准扶贫相结合原则，坚持培养与县委县政府的美丽乡村建设相结合原则，坚持培养与农村、农民实际需求相结合原则，坚持培养与县域产业结构分布相结合原则。以乡镇成人教育技术学校为依托，结合宽城产业发展现状，结合精准扶贫工作，调研确定新型职业农民培养专业设置，</w:t>
      </w:r>
      <w:r>
        <w:rPr>
          <w:rFonts w:ascii="仿宋_GB2312" w:hAnsi="仿宋_GB2312" w:eastAsia="仿宋_GB2312" w:cs="仿宋_GB2312"/>
          <w:color w:val="333333"/>
          <w:sz w:val="32"/>
          <w:szCs w:val="32"/>
          <w:shd w:val="clear" w:color="auto" w:fill="FFFFFF"/>
        </w:rPr>
        <w:t xml:space="preserve"> 2017</w:t>
      </w:r>
      <w:r>
        <w:rPr>
          <w:rFonts w:hint="eastAsia" w:ascii="仿宋_GB2312" w:hAnsi="仿宋_GB2312" w:eastAsia="仿宋_GB2312" w:cs="仿宋_GB2312"/>
          <w:color w:val="333333"/>
          <w:sz w:val="32"/>
          <w:szCs w:val="32"/>
          <w:shd w:val="clear" w:color="auto" w:fill="FFFFFF"/>
        </w:rPr>
        <w:t>年在龙须门镇、桲罗台镇、化皮镇、孟子岭乡和塌山乡设立</w:t>
      </w:r>
      <w:r>
        <w:rPr>
          <w:rFonts w:ascii="仿宋_GB2312" w:hAnsi="仿宋_GB2312" w:eastAsia="仿宋_GB2312" w:cs="仿宋_GB2312"/>
          <w:color w:val="333333"/>
          <w:sz w:val="32"/>
          <w:szCs w:val="32"/>
          <w:shd w:val="clear" w:color="auto" w:fill="FFFFFF"/>
        </w:rPr>
        <w:t>5</w:t>
      </w:r>
      <w:r>
        <w:rPr>
          <w:rFonts w:hint="eastAsia" w:ascii="仿宋_GB2312" w:hAnsi="仿宋_GB2312" w:eastAsia="仿宋_GB2312" w:cs="仿宋_GB2312"/>
          <w:color w:val="333333"/>
          <w:sz w:val="32"/>
          <w:szCs w:val="32"/>
          <w:shd w:val="clear" w:color="auto" w:fill="FFFFFF"/>
        </w:rPr>
        <w:t>个教学点，招收学员</w:t>
      </w:r>
      <w:r>
        <w:rPr>
          <w:rFonts w:ascii="仿宋_GB2312" w:hAnsi="仿宋_GB2312" w:eastAsia="仿宋_GB2312" w:cs="仿宋_GB2312"/>
          <w:color w:val="333333"/>
          <w:sz w:val="32"/>
          <w:szCs w:val="32"/>
          <w:shd w:val="clear" w:color="auto" w:fill="FFFFFF"/>
        </w:rPr>
        <w:t>384</w:t>
      </w:r>
      <w:r>
        <w:rPr>
          <w:rFonts w:hint="eastAsia" w:ascii="仿宋_GB2312" w:hAnsi="仿宋_GB2312" w:eastAsia="仿宋_GB2312" w:cs="仿宋_GB2312"/>
          <w:color w:val="333333"/>
          <w:sz w:val="32"/>
          <w:szCs w:val="32"/>
          <w:shd w:val="clear" w:color="auto" w:fill="FFFFFF"/>
        </w:rPr>
        <w:t>人，开设了板栗生产技术、苹果生产技术、养蜂技术三个专业。</w:t>
      </w:r>
      <w:r>
        <w:rPr>
          <w:rFonts w:ascii="仿宋_GB2312" w:hAnsi="仿宋" w:eastAsia="仿宋_GB2312"/>
          <w:sz w:val="32"/>
          <w:szCs w:val="32"/>
        </w:rPr>
        <w:t>2018</w:t>
      </w:r>
      <w:r>
        <w:rPr>
          <w:rFonts w:hint="eastAsia" w:ascii="仿宋_GB2312" w:hAnsi="仿宋" w:eastAsia="仿宋_GB2312"/>
          <w:sz w:val="32"/>
          <w:szCs w:val="32"/>
        </w:rPr>
        <w:t>年，新型职业农民培养与 “双创双服”相结合，学校重点在引导农民走绿色产业发展道路，提高农民科技致富能力上做文章，开设了板栗苹果栽培技术、满族手工刺绣两个专业，在全县</w:t>
      </w:r>
      <w:r>
        <w:rPr>
          <w:rFonts w:hint="eastAsia" w:ascii="仿宋_GB2312" w:hAnsi="仿宋" w:eastAsia="仿宋_GB2312" w:cs="宋体"/>
          <w:sz w:val="32"/>
          <w:szCs w:val="32"/>
        </w:rPr>
        <w:t>设立了</w:t>
      </w:r>
      <w:r>
        <w:rPr>
          <w:rFonts w:ascii="仿宋_GB2312" w:hAnsi="仿宋" w:eastAsia="仿宋_GB2312" w:cs="宋体"/>
          <w:sz w:val="32"/>
          <w:szCs w:val="32"/>
        </w:rPr>
        <w:t>5</w:t>
      </w:r>
      <w:r>
        <w:rPr>
          <w:rFonts w:hint="eastAsia" w:ascii="仿宋_GB2312" w:hAnsi="仿宋" w:eastAsia="仿宋_GB2312" w:cs="宋体"/>
          <w:sz w:val="32"/>
          <w:szCs w:val="32"/>
        </w:rPr>
        <w:t>个乡镇教学点，辐射</w:t>
      </w:r>
      <w:r>
        <w:rPr>
          <w:rFonts w:ascii="仿宋_GB2312" w:hAnsi="仿宋" w:eastAsia="仿宋_GB2312" w:cs="宋体"/>
          <w:sz w:val="32"/>
          <w:szCs w:val="32"/>
        </w:rPr>
        <w:t>21</w:t>
      </w:r>
      <w:r>
        <w:rPr>
          <w:rFonts w:hint="eastAsia" w:ascii="仿宋_GB2312" w:hAnsi="仿宋" w:eastAsia="仿宋_GB2312" w:cs="宋体"/>
          <w:sz w:val="32"/>
          <w:szCs w:val="32"/>
        </w:rPr>
        <w:t>个行政村，累计培训</w:t>
      </w:r>
      <w:r>
        <w:rPr>
          <w:rFonts w:ascii="仿宋_GB2312" w:hAnsi="仿宋" w:eastAsia="仿宋_GB2312" w:cs="宋体"/>
          <w:sz w:val="32"/>
          <w:szCs w:val="32"/>
        </w:rPr>
        <w:t>132</w:t>
      </w:r>
      <w:r>
        <w:rPr>
          <w:rFonts w:hint="eastAsia" w:ascii="仿宋_GB2312" w:hAnsi="仿宋" w:eastAsia="仿宋_GB2312" w:cs="宋体"/>
          <w:sz w:val="32"/>
          <w:szCs w:val="32"/>
        </w:rPr>
        <w:t>天，参训</w:t>
      </w:r>
      <w:r>
        <w:rPr>
          <w:rFonts w:ascii="仿宋_GB2312" w:hAnsi="仿宋" w:eastAsia="仿宋_GB2312" w:cs="宋体"/>
          <w:sz w:val="32"/>
          <w:szCs w:val="32"/>
        </w:rPr>
        <w:t>6320</w:t>
      </w:r>
      <w:r>
        <w:rPr>
          <w:rFonts w:hint="eastAsia" w:ascii="仿宋_GB2312" w:hAnsi="仿宋" w:eastAsia="仿宋_GB2312" w:cs="宋体"/>
          <w:sz w:val="32"/>
          <w:szCs w:val="32"/>
        </w:rPr>
        <w:t>人次，培养了</w:t>
      </w:r>
      <w:r>
        <w:rPr>
          <w:rFonts w:ascii="仿宋_GB2312" w:hAnsi="仿宋" w:eastAsia="仿宋_GB2312" w:cs="宋体"/>
          <w:sz w:val="32"/>
          <w:szCs w:val="32"/>
        </w:rPr>
        <w:t>271</w:t>
      </w:r>
      <w:r>
        <w:rPr>
          <w:rFonts w:hint="eastAsia" w:ascii="仿宋_GB2312" w:hAnsi="仿宋" w:eastAsia="仿宋_GB2312" w:cs="宋体"/>
          <w:sz w:val="32"/>
          <w:szCs w:val="32"/>
        </w:rPr>
        <w:t>名新型职业农民。</w:t>
      </w:r>
      <w:r>
        <w:rPr>
          <w:rFonts w:hint="eastAsia" w:ascii="仿宋_GB2312" w:hAnsi="仿宋_GB2312" w:eastAsia="仿宋_GB2312" w:cs="仿宋_GB2312"/>
          <w:color w:val="333333"/>
          <w:sz w:val="32"/>
          <w:szCs w:val="32"/>
          <w:shd w:val="clear" w:color="auto" w:fill="FFFFFF"/>
        </w:rPr>
        <w:t>新型职业农民培养尝试</w:t>
      </w:r>
      <w:r>
        <w:rPr>
          <w:rFonts w:ascii="仿宋_GB2312" w:hAnsi="仿宋_GB2312" w:eastAsia="仿宋_GB2312" w:cs="仿宋_GB2312"/>
          <w:color w:val="333333"/>
          <w:sz w:val="32"/>
          <w:szCs w:val="32"/>
          <w:shd w:val="clear" w:color="auto" w:fill="FFFFFF"/>
        </w:rPr>
        <w:t xml:space="preserve"> </w:t>
      </w:r>
      <w:r>
        <w:rPr>
          <w:rFonts w:hint="eastAsia" w:ascii="仿宋_GB2312" w:hAnsi="仿宋_GB2312" w:eastAsia="仿宋_GB2312" w:cs="仿宋_GB2312"/>
          <w:color w:val="333333"/>
          <w:sz w:val="32"/>
          <w:szCs w:val="32"/>
          <w:shd w:val="clear" w:color="auto" w:fill="FFFFFF"/>
        </w:rPr>
        <w:t>“学校</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合作社</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农户”“学校</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农户”“学校</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公司</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农户”的培养模式。</w:t>
      </w:r>
      <w:r>
        <w:rPr>
          <w:rFonts w:hint="eastAsia" w:ascii="仿宋_GB2312" w:hAnsi="仿宋" w:eastAsia="仿宋_GB2312" w:cs="宋体"/>
          <w:color w:val="2B2B2B"/>
          <w:kern w:val="0"/>
          <w:sz w:val="32"/>
          <w:szCs w:val="32"/>
        </w:rPr>
        <w:t>学校在县西京东板栗主产区和优质果品示范区确立了</w:t>
      </w:r>
      <w:r>
        <w:rPr>
          <w:rFonts w:hint="eastAsia" w:ascii="仿宋_GB2312" w:hAnsi="仿宋" w:eastAsia="仿宋_GB2312" w:cs="宋体"/>
          <w:sz w:val="32"/>
          <w:szCs w:val="32"/>
        </w:rPr>
        <w:t>“提质增效，绿色生产”的培训目标。抓时令，送技术，</w:t>
      </w:r>
      <w:r>
        <w:rPr>
          <w:rFonts w:hint="eastAsia" w:ascii="仿宋_GB2312" w:hAnsi="仿宋" w:eastAsia="仿宋_GB2312" w:cs="宋体"/>
          <w:color w:val="000000"/>
          <w:kern w:val="0"/>
          <w:sz w:val="32"/>
          <w:szCs w:val="32"/>
        </w:rPr>
        <w:t>使各项技术落地，搭建了专家与果农合作平台，打通了农技推广的最后一公里。学校</w:t>
      </w:r>
      <w:r>
        <w:rPr>
          <w:rFonts w:hint="eastAsia" w:ascii="仿宋_GB2312" w:hAnsi="仿宋" w:eastAsia="仿宋_GB2312"/>
          <w:sz w:val="32"/>
          <w:szCs w:val="32"/>
        </w:rPr>
        <w:t>与农牧局合作培育“高效丰产有机”板栗，聘请专业人员指导农户对</w:t>
      </w:r>
      <w:r>
        <w:rPr>
          <w:rFonts w:ascii="仿宋_GB2312" w:hAnsi="仿宋" w:eastAsia="仿宋_GB2312"/>
          <w:sz w:val="32"/>
          <w:szCs w:val="32"/>
        </w:rPr>
        <w:t>20</w:t>
      </w:r>
      <w:r>
        <w:rPr>
          <w:rFonts w:hint="eastAsia" w:ascii="仿宋_GB2312" w:hAnsi="仿宋" w:eastAsia="仿宋_GB2312"/>
          <w:sz w:val="32"/>
          <w:szCs w:val="32"/>
        </w:rPr>
        <w:t>个栗园进行了改造，果品产值比上一年增加</w:t>
      </w:r>
      <w:r>
        <w:rPr>
          <w:rFonts w:ascii="仿宋_GB2312" w:hAnsi="仿宋" w:eastAsia="仿宋_GB2312"/>
          <w:sz w:val="32"/>
          <w:szCs w:val="32"/>
        </w:rPr>
        <w:t>20%</w:t>
      </w:r>
      <w:r>
        <w:rPr>
          <w:rFonts w:hint="eastAsia" w:ascii="仿宋_GB2312" w:hAnsi="仿宋" w:eastAsia="仿宋_GB2312"/>
          <w:sz w:val="32"/>
          <w:szCs w:val="32"/>
        </w:rPr>
        <w:t>。此外学校还与满娘刺绣公司合作，</w:t>
      </w:r>
      <w:r>
        <w:rPr>
          <w:rFonts w:hint="eastAsia" w:ascii="仿宋_GB2312" w:hAnsi="仿宋" w:eastAsia="仿宋_GB2312" w:cs="宋体"/>
          <w:color w:val="000000"/>
          <w:kern w:val="0"/>
          <w:sz w:val="32"/>
          <w:szCs w:val="32"/>
        </w:rPr>
        <w:t>聘请了河北省手工刺绣工艺美术大师王国荣和</w:t>
      </w:r>
      <w:r>
        <w:rPr>
          <w:rFonts w:hint="eastAsia" w:ascii="仿宋_GB2312" w:hAnsi="仿宋" w:eastAsia="仿宋_GB2312" w:cs="宋体"/>
          <w:sz w:val="32"/>
          <w:szCs w:val="32"/>
        </w:rPr>
        <w:t>联合国非物质文化遗产传承人王秀莲、苏州刺绣工艺师张水珍</w:t>
      </w:r>
      <w:r>
        <w:rPr>
          <w:rFonts w:hint="eastAsia" w:ascii="仿宋_GB2312" w:hAnsi="仿宋" w:eastAsia="仿宋_GB2312" w:cs="宋体"/>
          <w:color w:val="000000"/>
          <w:kern w:val="0"/>
          <w:sz w:val="32"/>
          <w:szCs w:val="32"/>
        </w:rPr>
        <w:t>对满族手工刺绣专业学员进行了满族剪纸，单面绣、双面绣培训，培养职业绣娘，促进妇女就业。</w:t>
      </w:r>
      <w:r>
        <w:rPr>
          <w:rFonts w:hint="eastAsia" w:ascii="仿宋_GB2312" w:hAnsi="仿宋" w:eastAsia="仿宋_GB2312"/>
          <w:sz w:val="32"/>
          <w:szCs w:val="32"/>
        </w:rPr>
        <w:t>为让新技术、新工艺更多的惠及百姓，学校建立了满族手工刺绣实训基地、苹果生产技术示范基地、板栗栽培技术示范基地、药材种植示范基地和</w:t>
      </w:r>
      <w:r>
        <w:rPr>
          <w:rFonts w:ascii="仿宋_GB2312" w:hAnsi="仿宋" w:eastAsia="仿宋_GB2312"/>
          <w:sz w:val="32"/>
          <w:szCs w:val="32"/>
        </w:rPr>
        <w:t>3</w:t>
      </w:r>
      <w:r>
        <w:rPr>
          <w:rFonts w:hint="eastAsia" w:ascii="仿宋_GB2312" w:hAnsi="仿宋" w:eastAsia="仿宋_GB2312"/>
          <w:sz w:val="32"/>
          <w:szCs w:val="32"/>
        </w:rPr>
        <w:t>个苹果板栗生产实习实训基地，通过典型带动，技术辐射</w:t>
      </w:r>
      <w:r>
        <w:rPr>
          <w:rFonts w:hint="eastAsia" w:ascii="仿宋_GB2312" w:hAnsi="仿宋" w:eastAsia="仿宋_GB2312" w:cs="宋体"/>
          <w:color w:val="2B2B2B"/>
          <w:kern w:val="0"/>
          <w:sz w:val="32"/>
          <w:szCs w:val="32"/>
        </w:rPr>
        <w:t>让更多的农户掌握科技致富的金钥匙。</w:t>
      </w:r>
    </w:p>
    <w:p>
      <w:pPr>
        <w:jc w:val="left"/>
        <w:rPr>
          <w:rFonts w:ascii="仿宋_GB2312" w:hAnsi="仿宋_GB2312" w:eastAsia="仿宋_GB2312" w:cs="仿宋_GB2312"/>
          <w:color w:val="333333"/>
          <w:szCs w:val="21"/>
          <w:shd w:val="clear" w:color="auto" w:fill="FFFFFF"/>
        </w:rPr>
      </w:pPr>
      <w:r>
        <w:rPr>
          <w:rFonts w:hint="eastAsia" w:ascii="仿宋_GB2312" w:hAnsi="仿宋_GB2312" w:eastAsia="仿宋_GB2312" w:cs="仿宋_GB2312"/>
          <w:color w:val="333333"/>
          <w:szCs w:val="21"/>
          <w:shd w:val="clear" w:color="auto" w:fill="FFFFFF"/>
        </w:rPr>
        <w:t xml:space="preserve">表18                               </w:t>
      </w:r>
    </w:p>
    <w:tbl>
      <w:tblPr>
        <w:tblStyle w:val="10"/>
        <w:tblW w:w="9100" w:type="dxa"/>
        <w:tblInd w:w="0" w:type="dxa"/>
        <w:tblLayout w:type="fixed"/>
        <w:tblCellMar>
          <w:top w:w="15" w:type="dxa"/>
          <w:left w:w="15" w:type="dxa"/>
          <w:bottom w:w="15" w:type="dxa"/>
          <w:right w:w="15" w:type="dxa"/>
        </w:tblCellMar>
      </w:tblPr>
      <w:tblGrid>
        <w:gridCol w:w="1300"/>
        <w:gridCol w:w="1300"/>
        <w:gridCol w:w="1300"/>
        <w:gridCol w:w="1300"/>
        <w:gridCol w:w="1300"/>
        <w:gridCol w:w="1300"/>
        <w:gridCol w:w="1300"/>
      </w:tblGrid>
      <w:tr>
        <w:tblPrEx>
          <w:tblLayout w:type="fixed"/>
          <w:tblCellMar>
            <w:top w:w="15" w:type="dxa"/>
            <w:left w:w="15" w:type="dxa"/>
            <w:bottom w:w="15" w:type="dxa"/>
            <w:right w:w="15" w:type="dxa"/>
          </w:tblCellMar>
        </w:tblPrEx>
        <w:trPr>
          <w:trHeight w:val="1026" w:hRule="exact"/>
        </w:trPr>
        <w:tc>
          <w:tcPr>
            <w:tcW w:w="1300"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top"/>
              <w:rPr>
                <w:rFonts w:ascii="仿宋" w:hAnsi="仿宋" w:eastAsia="仿宋" w:cs="仿宋_GB2312"/>
                <w:color w:val="000000"/>
                <w:szCs w:val="21"/>
              </w:rPr>
            </w:pPr>
            <w:r>
              <w:rPr>
                <w:rFonts w:hint="eastAsia" w:ascii="仿宋" w:hAnsi="仿宋" w:eastAsia="仿宋" w:cs="仿宋_GB2312"/>
                <w:color w:val="000000"/>
                <w:kern w:val="0"/>
                <w:szCs w:val="21"/>
              </w:rPr>
              <w:t>培训专业</w:t>
            </w:r>
          </w:p>
        </w:tc>
        <w:tc>
          <w:tcPr>
            <w:tcW w:w="1300"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top"/>
              <w:rPr>
                <w:rFonts w:ascii="仿宋" w:hAnsi="仿宋" w:eastAsia="仿宋" w:cs="仿宋_GB2312"/>
                <w:color w:val="000000"/>
                <w:szCs w:val="21"/>
              </w:rPr>
            </w:pPr>
            <w:r>
              <w:rPr>
                <w:rFonts w:hint="eastAsia" w:ascii="仿宋" w:hAnsi="仿宋" w:eastAsia="仿宋" w:cs="仿宋_GB2312"/>
                <w:color w:val="000000"/>
                <w:kern w:val="0"/>
                <w:szCs w:val="21"/>
                <w:lang w:val="en-US" w:eastAsia="zh-CN"/>
              </w:rPr>
              <w:t>满娘刺绣</w:t>
            </w:r>
            <w:r>
              <w:rPr>
                <w:rFonts w:hint="eastAsia" w:ascii="仿宋" w:hAnsi="仿宋" w:eastAsia="仿宋" w:cs="仿宋_GB2312"/>
                <w:color w:val="000000"/>
                <w:kern w:val="0"/>
                <w:szCs w:val="21"/>
              </w:rPr>
              <w:t>术</w:t>
            </w:r>
          </w:p>
        </w:tc>
        <w:tc>
          <w:tcPr>
            <w:tcW w:w="1300"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top"/>
              <w:rPr>
                <w:rFonts w:ascii="仿宋" w:hAnsi="仿宋" w:eastAsia="仿宋" w:cs="仿宋_GB2312"/>
                <w:color w:val="000000"/>
                <w:szCs w:val="21"/>
              </w:rPr>
            </w:pPr>
            <w:r>
              <w:rPr>
                <w:rFonts w:hint="eastAsia" w:ascii="仿宋" w:hAnsi="仿宋" w:eastAsia="仿宋" w:cs="仿宋_GB2312"/>
                <w:color w:val="000000"/>
                <w:kern w:val="0"/>
                <w:szCs w:val="21"/>
              </w:rPr>
              <w:t>果树生产技术</w:t>
            </w:r>
          </w:p>
        </w:tc>
        <w:tc>
          <w:tcPr>
            <w:tcW w:w="1300"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top"/>
              <w:rPr>
                <w:rFonts w:ascii="仿宋" w:hAnsi="仿宋" w:eastAsia="仿宋" w:cs="仿宋_GB2312"/>
                <w:color w:val="000000"/>
                <w:szCs w:val="21"/>
              </w:rPr>
            </w:pPr>
            <w:r>
              <w:rPr>
                <w:rFonts w:hint="eastAsia" w:ascii="仿宋" w:hAnsi="仿宋" w:eastAsia="仿宋" w:cs="仿宋_GB2312"/>
                <w:color w:val="000000"/>
                <w:kern w:val="0"/>
                <w:szCs w:val="21"/>
              </w:rPr>
              <w:t>药材种植技术</w:t>
            </w:r>
          </w:p>
        </w:tc>
        <w:tc>
          <w:tcPr>
            <w:tcW w:w="1300"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top"/>
              <w:rPr>
                <w:rFonts w:ascii="仿宋" w:hAnsi="仿宋" w:eastAsia="仿宋" w:cs="仿宋_GB2312"/>
                <w:color w:val="000000"/>
                <w:szCs w:val="21"/>
              </w:rPr>
            </w:pPr>
            <w:r>
              <w:rPr>
                <w:rFonts w:hint="eastAsia" w:ascii="仿宋" w:hAnsi="仿宋" w:eastAsia="仿宋" w:cs="仿宋_GB2312"/>
                <w:color w:val="000000"/>
                <w:kern w:val="0"/>
                <w:szCs w:val="21"/>
              </w:rPr>
              <w:t>板栗栽培技术</w:t>
            </w:r>
          </w:p>
        </w:tc>
        <w:tc>
          <w:tcPr>
            <w:tcW w:w="1300"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top"/>
              <w:rPr>
                <w:rFonts w:ascii="仿宋" w:hAnsi="仿宋" w:eastAsia="仿宋" w:cs="仿宋_GB2312"/>
                <w:color w:val="000000"/>
                <w:szCs w:val="21"/>
              </w:rPr>
            </w:pPr>
            <w:r>
              <w:rPr>
                <w:rFonts w:hint="eastAsia" w:ascii="仿宋" w:hAnsi="仿宋" w:eastAsia="仿宋" w:cs="仿宋_GB2312"/>
                <w:color w:val="000000"/>
                <w:kern w:val="0"/>
                <w:szCs w:val="21"/>
              </w:rPr>
              <w:t>养蜂技术</w:t>
            </w:r>
          </w:p>
        </w:tc>
        <w:tc>
          <w:tcPr>
            <w:tcW w:w="1300"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jc w:val="center"/>
              <w:textAlignment w:val="top"/>
              <w:rPr>
                <w:rFonts w:ascii="仿宋" w:hAnsi="仿宋" w:eastAsia="仿宋" w:cs="仿宋_GB2312"/>
                <w:color w:val="000000"/>
                <w:szCs w:val="21"/>
              </w:rPr>
            </w:pPr>
            <w:r>
              <w:rPr>
                <w:rFonts w:hint="eastAsia" w:ascii="仿宋" w:hAnsi="仿宋" w:eastAsia="仿宋" w:cs="仿宋_GB2312"/>
                <w:color w:val="000000"/>
                <w:kern w:val="0"/>
                <w:szCs w:val="21"/>
              </w:rPr>
              <w:t>合计</w:t>
            </w:r>
          </w:p>
        </w:tc>
      </w:tr>
      <w:tr>
        <w:tblPrEx>
          <w:tblLayout w:type="fixed"/>
          <w:tblCellMar>
            <w:top w:w="15" w:type="dxa"/>
            <w:left w:w="15" w:type="dxa"/>
            <w:bottom w:w="15" w:type="dxa"/>
            <w:right w:w="15" w:type="dxa"/>
          </w:tblCellMar>
        </w:tblPrEx>
        <w:trPr>
          <w:trHeight w:val="1026" w:hRule="exact"/>
        </w:trPr>
        <w:tc>
          <w:tcPr>
            <w:tcW w:w="13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top"/>
              <w:rPr>
                <w:rFonts w:ascii="仿宋" w:hAnsi="仿宋" w:eastAsia="仿宋" w:cs="仿宋_GB2312"/>
                <w:color w:val="000000"/>
                <w:szCs w:val="21"/>
              </w:rPr>
            </w:pPr>
            <w:r>
              <w:rPr>
                <w:rFonts w:hint="eastAsia" w:ascii="仿宋" w:hAnsi="仿宋" w:eastAsia="仿宋" w:cs="仿宋_GB2312"/>
                <w:color w:val="000000"/>
                <w:kern w:val="0"/>
                <w:szCs w:val="21"/>
              </w:rPr>
              <w:t>201</w:t>
            </w:r>
            <w:r>
              <w:rPr>
                <w:rFonts w:hint="eastAsia" w:ascii="仿宋" w:hAnsi="仿宋" w:eastAsia="仿宋" w:cs="仿宋_GB2312"/>
                <w:color w:val="000000"/>
                <w:kern w:val="0"/>
                <w:szCs w:val="21"/>
                <w:lang w:val="en-US" w:eastAsia="zh-CN"/>
              </w:rPr>
              <w:t>7</w:t>
            </w:r>
            <w:r>
              <w:rPr>
                <w:rStyle w:val="12"/>
                <w:rFonts w:hint="default" w:ascii="仿宋" w:hAnsi="仿宋" w:eastAsia="仿宋" w:cs="仿宋_GB2312"/>
                <w:sz w:val="21"/>
                <w:szCs w:val="21"/>
              </w:rPr>
              <w:t>年</w:t>
            </w:r>
          </w:p>
        </w:tc>
        <w:tc>
          <w:tcPr>
            <w:tcW w:w="13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top"/>
              <w:rPr>
                <w:rFonts w:hint="eastAsia" w:ascii="仿宋" w:hAnsi="仿宋" w:eastAsia="仿宋" w:cs="仿宋_GB2312"/>
                <w:color w:val="000000"/>
                <w:szCs w:val="21"/>
                <w:lang w:val="en-US" w:eastAsia="zh-CN"/>
              </w:rPr>
            </w:pPr>
            <w:r>
              <w:rPr>
                <w:rFonts w:hint="eastAsia" w:ascii="仿宋" w:hAnsi="仿宋" w:eastAsia="仿宋" w:cs="仿宋_GB2312"/>
                <w:color w:val="000000"/>
                <w:szCs w:val="21"/>
                <w:lang w:val="en-US" w:eastAsia="zh-CN"/>
              </w:rPr>
              <w:t>0</w:t>
            </w:r>
          </w:p>
        </w:tc>
        <w:tc>
          <w:tcPr>
            <w:tcW w:w="13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top"/>
              <w:rPr>
                <w:rFonts w:hint="eastAsia" w:ascii="仿宋" w:hAnsi="仿宋" w:eastAsia="仿宋" w:cs="仿宋_GB2312"/>
                <w:color w:val="000000"/>
                <w:szCs w:val="21"/>
                <w:lang w:val="en-US" w:eastAsia="zh-CN"/>
              </w:rPr>
            </w:pPr>
            <w:r>
              <w:rPr>
                <w:rFonts w:hint="eastAsia" w:ascii="仿宋" w:hAnsi="仿宋" w:eastAsia="仿宋" w:cs="仿宋_GB2312"/>
                <w:color w:val="000000"/>
                <w:kern w:val="0"/>
                <w:szCs w:val="21"/>
                <w:lang w:val="en-US" w:eastAsia="zh-CN"/>
              </w:rPr>
              <w:t>194</w:t>
            </w:r>
          </w:p>
        </w:tc>
        <w:tc>
          <w:tcPr>
            <w:tcW w:w="13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top"/>
              <w:rPr>
                <w:rFonts w:ascii="仿宋" w:hAnsi="仿宋" w:eastAsia="仿宋" w:cs="仿宋_GB2312"/>
                <w:color w:val="000000"/>
                <w:szCs w:val="21"/>
              </w:rPr>
            </w:pPr>
            <w:r>
              <w:rPr>
                <w:rFonts w:hint="eastAsia" w:ascii="仿宋" w:hAnsi="仿宋" w:eastAsia="仿宋" w:cs="仿宋_GB2312"/>
                <w:color w:val="000000"/>
                <w:kern w:val="0"/>
                <w:szCs w:val="21"/>
              </w:rPr>
              <w:t>96</w:t>
            </w:r>
          </w:p>
        </w:tc>
        <w:tc>
          <w:tcPr>
            <w:tcW w:w="13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ascii="仿宋" w:hAnsi="仿宋" w:eastAsia="仿宋" w:cs="仿宋_GB2312"/>
                <w:color w:val="000000"/>
                <w:szCs w:val="21"/>
              </w:rPr>
            </w:pPr>
            <w:r>
              <w:rPr>
                <w:rFonts w:hint="eastAsia" w:ascii="仿宋" w:hAnsi="仿宋" w:eastAsia="仿宋" w:cs="仿宋_GB2312"/>
                <w:color w:val="000000"/>
                <w:kern w:val="0"/>
                <w:szCs w:val="21"/>
              </w:rPr>
              <w:t>127</w:t>
            </w:r>
          </w:p>
        </w:tc>
        <w:tc>
          <w:tcPr>
            <w:tcW w:w="13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ascii="仿宋" w:hAnsi="仿宋" w:eastAsia="仿宋" w:cs="仿宋_GB2312"/>
                <w:color w:val="000000"/>
                <w:szCs w:val="21"/>
                <w:lang w:val="en-US" w:eastAsia="zh-CN"/>
              </w:rPr>
            </w:pPr>
            <w:r>
              <w:rPr>
                <w:rFonts w:hint="eastAsia" w:ascii="仿宋" w:hAnsi="仿宋" w:eastAsia="仿宋" w:cs="仿宋_GB2312"/>
                <w:color w:val="000000"/>
                <w:kern w:val="0"/>
                <w:szCs w:val="21"/>
              </w:rPr>
              <w:t>61</w:t>
            </w:r>
          </w:p>
        </w:tc>
        <w:tc>
          <w:tcPr>
            <w:tcW w:w="13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top"/>
              <w:rPr>
                <w:rFonts w:hint="eastAsia" w:ascii="仿宋" w:hAnsi="仿宋" w:eastAsia="仿宋" w:cs="仿宋_GB2312"/>
                <w:color w:val="000000"/>
                <w:szCs w:val="21"/>
                <w:lang w:val="en-US" w:eastAsia="zh-CN"/>
              </w:rPr>
            </w:pPr>
            <w:r>
              <w:rPr>
                <w:rFonts w:hint="eastAsia" w:ascii="仿宋" w:hAnsi="仿宋" w:eastAsia="仿宋" w:cs="仿宋_GB2312"/>
                <w:color w:val="000000"/>
                <w:kern w:val="0"/>
                <w:szCs w:val="21"/>
                <w:lang w:val="en-US" w:eastAsia="zh-CN"/>
              </w:rPr>
              <w:t>478</w:t>
            </w:r>
          </w:p>
        </w:tc>
      </w:tr>
      <w:tr>
        <w:tblPrEx>
          <w:tblLayout w:type="fixed"/>
          <w:tblCellMar>
            <w:top w:w="15" w:type="dxa"/>
            <w:left w:w="15" w:type="dxa"/>
            <w:bottom w:w="15" w:type="dxa"/>
            <w:right w:w="15" w:type="dxa"/>
          </w:tblCellMar>
        </w:tblPrEx>
        <w:trPr>
          <w:trHeight w:val="1094" w:hRule="exact"/>
        </w:trPr>
        <w:tc>
          <w:tcPr>
            <w:tcW w:w="13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top"/>
              <w:rPr>
                <w:rFonts w:ascii="仿宋" w:hAnsi="仿宋" w:eastAsia="仿宋" w:cs="仿宋_GB2312"/>
                <w:color w:val="000000"/>
                <w:szCs w:val="21"/>
              </w:rPr>
            </w:pPr>
            <w:r>
              <w:rPr>
                <w:rFonts w:hint="eastAsia" w:ascii="仿宋" w:hAnsi="仿宋" w:eastAsia="仿宋" w:cs="仿宋_GB2312"/>
                <w:color w:val="000000"/>
                <w:kern w:val="0"/>
                <w:szCs w:val="21"/>
              </w:rPr>
              <w:t>201</w:t>
            </w:r>
            <w:r>
              <w:rPr>
                <w:rFonts w:hint="eastAsia" w:ascii="仿宋" w:hAnsi="仿宋" w:eastAsia="仿宋" w:cs="仿宋_GB2312"/>
                <w:color w:val="000000"/>
                <w:kern w:val="0"/>
                <w:szCs w:val="21"/>
                <w:lang w:val="en-US" w:eastAsia="zh-CN"/>
              </w:rPr>
              <w:t>8</w:t>
            </w:r>
            <w:r>
              <w:rPr>
                <w:rStyle w:val="12"/>
                <w:rFonts w:hint="default" w:ascii="仿宋" w:hAnsi="仿宋" w:eastAsia="仿宋" w:cs="仿宋_GB2312"/>
                <w:sz w:val="21"/>
                <w:szCs w:val="21"/>
              </w:rPr>
              <w:t>年</w:t>
            </w:r>
          </w:p>
        </w:tc>
        <w:tc>
          <w:tcPr>
            <w:tcW w:w="13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ascii="仿宋" w:hAnsi="仿宋" w:eastAsia="仿宋" w:cs="仿宋_GB2312"/>
                <w:color w:val="000000"/>
                <w:szCs w:val="21"/>
                <w:lang w:val="en-US" w:eastAsia="zh-CN"/>
              </w:rPr>
            </w:pPr>
            <w:r>
              <w:rPr>
                <w:rFonts w:hint="eastAsia" w:ascii="仿宋" w:hAnsi="仿宋" w:eastAsia="仿宋" w:cs="仿宋_GB2312"/>
                <w:color w:val="000000"/>
                <w:szCs w:val="21"/>
                <w:lang w:val="en-US" w:eastAsia="zh-CN"/>
              </w:rPr>
              <w:t>54</w:t>
            </w:r>
          </w:p>
        </w:tc>
        <w:tc>
          <w:tcPr>
            <w:tcW w:w="13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top"/>
              <w:rPr>
                <w:rFonts w:hint="eastAsia" w:ascii="仿宋" w:hAnsi="仿宋" w:eastAsia="仿宋" w:cs="仿宋_GB2312"/>
                <w:color w:val="000000"/>
                <w:szCs w:val="21"/>
                <w:lang w:val="en-US" w:eastAsia="zh-CN"/>
              </w:rPr>
            </w:pPr>
            <w:r>
              <w:rPr>
                <w:rFonts w:hint="eastAsia" w:ascii="仿宋" w:hAnsi="仿宋" w:eastAsia="仿宋" w:cs="仿宋_GB2312"/>
                <w:color w:val="000000"/>
                <w:kern w:val="0"/>
                <w:szCs w:val="21"/>
                <w:lang w:val="en-US" w:eastAsia="zh-CN"/>
              </w:rPr>
              <w:t>167</w:t>
            </w:r>
          </w:p>
        </w:tc>
        <w:tc>
          <w:tcPr>
            <w:tcW w:w="13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jc w:val="center"/>
              <w:rPr>
                <w:rFonts w:hint="eastAsia" w:ascii="仿宋" w:hAnsi="仿宋" w:eastAsia="仿宋" w:cs="仿宋_GB2312"/>
                <w:color w:val="000000"/>
                <w:szCs w:val="21"/>
                <w:lang w:val="en-US" w:eastAsia="zh-CN"/>
              </w:rPr>
            </w:pPr>
            <w:r>
              <w:rPr>
                <w:rFonts w:hint="eastAsia" w:ascii="仿宋" w:hAnsi="仿宋" w:eastAsia="仿宋" w:cs="仿宋_GB2312"/>
                <w:color w:val="000000"/>
                <w:szCs w:val="21"/>
                <w:lang w:val="en-US" w:eastAsia="zh-CN"/>
              </w:rPr>
              <w:t>0</w:t>
            </w:r>
          </w:p>
        </w:tc>
        <w:tc>
          <w:tcPr>
            <w:tcW w:w="13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top"/>
              <w:rPr>
                <w:rFonts w:hint="eastAsia" w:ascii="仿宋" w:hAnsi="仿宋" w:eastAsia="仿宋" w:cs="仿宋_GB2312"/>
                <w:color w:val="000000"/>
                <w:szCs w:val="21"/>
                <w:lang w:val="en-US" w:eastAsia="zh-CN"/>
              </w:rPr>
            </w:pPr>
            <w:r>
              <w:rPr>
                <w:rFonts w:hint="eastAsia" w:ascii="仿宋" w:hAnsi="仿宋" w:eastAsia="仿宋" w:cs="仿宋_GB2312"/>
                <w:color w:val="000000"/>
                <w:szCs w:val="21"/>
                <w:lang w:val="en-US" w:eastAsia="zh-CN"/>
              </w:rPr>
              <w:t>50</w:t>
            </w:r>
          </w:p>
        </w:tc>
        <w:tc>
          <w:tcPr>
            <w:tcW w:w="13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top"/>
              <w:rPr>
                <w:rFonts w:hint="eastAsia" w:ascii="仿宋" w:hAnsi="仿宋" w:eastAsia="仿宋" w:cs="仿宋_GB2312"/>
                <w:color w:val="000000"/>
                <w:szCs w:val="21"/>
                <w:lang w:val="en-US" w:eastAsia="zh-CN"/>
              </w:rPr>
            </w:pPr>
            <w:r>
              <w:rPr>
                <w:rFonts w:hint="eastAsia" w:ascii="仿宋" w:hAnsi="仿宋" w:eastAsia="仿宋" w:cs="仿宋_GB2312"/>
                <w:color w:val="000000"/>
                <w:szCs w:val="21"/>
                <w:lang w:val="en-US" w:eastAsia="zh-CN"/>
              </w:rPr>
              <w:t>0</w:t>
            </w:r>
          </w:p>
        </w:tc>
        <w:tc>
          <w:tcPr>
            <w:tcW w:w="13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widowControl/>
              <w:jc w:val="center"/>
              <w:textAlignment w:val="top"/>
              <w:rPr>
                <w:rFonts w:hint="eastAsia" w:ascii="仿宋" w:hAnsi="仿宋" w:eastAsia="仿宋" w:cs="仿宋_GB2312"/>
                <w:color w:val="000000"/>
                <w:szCs w:val="21"/>
                <w:lang w:val="en-US" w:eastAsia="zh-CN"/>
              </w:rPr>
            </w:pPr>
            <w:r>
              <w:rPr>
                <w:rFonts w:hint="eastAsia" w:ascii="仿宋" w:hAnsi="仿宋" w:eastAsia="仿宋" w:cs="仿宋_GB2312"/>
                <w:color w:val="000000"/>
                <w:kern w:val="0"/>
                <w:szCs w:val="21"/>
                <w:lang w:val="en-US" w:eastAsia="zh-CN"/>
              </w:rPr>
              <w:t>271</w:t>
            </w:r>
          </w:p>
        </w:tc>
      </w:tr>
    </w:tbl>
    <w:p>
      <w:pPr>
        <w:jc w:val="left"/>
      </w:pPr>
    </w:p>
    <w:p>
      <w:pPr>
        <w:jc w:val="left"/>
        <w:rPr>
          <w:rFonts w:ascii="仿宋_GB2312" w:hAnsi="仿宋_GB2312" w:eastAsia="仿宋_GB2312" w:cs="仿宋_GB2312"/>
          <w:color w:val="333333"/>
          <w:sz w:val="32"/>
          <w:szCs w:val="32"/>
          <w:shd w:val="clear" w:color="auto" w:fill="FFFFFF"/>
        </w:rPr>
      </w:pPr>
      <w:r>
        <w:drawing>
          <wp:inline distT="0" distB="0" distL="114300" distR="114300">
            <wp:extent cx="5523865" cy="2568575"/>
            <wp:effectExtent l="13970" t="0" r="24765" b="27305"/>
            <wp:docPr id="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5.2.3文化传承</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为推进社会主义核心价值观体系建设，弘扬中华传统文化，深化“做谦恭有礼宽城人”和“积善宽城”主题道德实践活动。学校积极开展文化传承活动，以诵读“国学经典”学习“汉字智慧”践行“弟子规”等活动为切入点，使文化入脑入心，取得了一定的成效。</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学校通过开展“与经典同性，与圣贤为伍”活动，利用晨读诵读《弟子规》、《晨起自勉文》、《三字经》、《百家姓》、《千字文》等国学经典，潜移默化的熏陶学生。通过开展学习“汉字部首”活动，从文化的细微处感受汉字智慧，启发心智，激发爱国热情，进行爱国主义教育。</w:t>
      </w:r>
    </w:p>
    <w:p>
      <w:pPr>
        <w:rPr>
          <w:rFonts w:ascii="黑体" w:hAnsi="黑体" w:eastAsia="黑体" w:cs="黑体"/>
          <w:color w:val="333333"/>
          <w:sz w:val="32"/>
          <w:szCs w:val="32"/>
          <w:shd w:val="clear" w:color="auto" w:fill="FFFFFF"/>
        </w:rPr>
      </w:pPr>
      <w:r>
        <w:rPr>
          <w:rFonts w:hint="eastAsia" w:ascii="黑体" w:hAnsi="黑体" w:eastAsia="黑体" w:cs="黑体"/>
          <w:color w:val="333333"/>
          <w:sz w:val="32"/>
          <w:szCs w:val="32"/>
          <w:shd w:val="clear" w:color="auto" w:fill="FFFFFF"/>
        </w:rPr>
        <w:t>6.举办者履行</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6.1经费</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6.1.1政策性经费落实情况</w:t>
      </w:r>
    </w:p>
    <w:p>
      <w:pPr>
        <w:rPr>
          <w:rFonts w:ascii="仿宋_GB2312" w:hAnsi="仿宋_GB2312" w:eastAsia="仿宋_GB2312" w:cs="仿宋_GB2312"/>
          <w:sz w:val="32"/>
          <w:szCs w:val="32"/>
        </w:rPr>
      </w:pPr>
      <w:r>
        <w:rPr>
          <w:rFonts w:hint="eastAsia" w:ascii="仿宋_GB2312" w:hAnsi="仿宋_GB2312" w:eastAsia="仿宋_GB2312" w:cs="仿宋_GB2312"/>
          <w:szCs w:val="21"/>
        </w:rPr>
        <w:t>表19                 经费落实情况         （单位：万元）</w:t>
      </w:r>
    </w:p>
    <w:tbl>
      <w:tblPr>
        <w:tblStyle w:val="11"/>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2244"/>
        <w:gridCol w:w="2245"/>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2245" w:type="dxa"/>
            <w:shd w:val="clear" w:color="auto" w:fill="00B0F0"/>
            <w:vAlign w:val="center"/>
          </w:tcPr>
          <w:p>
            <w:pPr>
              <w:jc w:val="center"/>
              <w:rPr>
                <w:rFonts w:ascii="仿宋" w:hAnsi="仿宋" w:eastAsia="仿宋" w:cs="仿宋_GB2312"/>
              </w:rPr>
            </w:pPr>
            <w:r>
              <w:rPr>
                <w:rFonts w:hint="eastAsia" w:ascii="仿宋" w:hAnsi="仿宋" w:eastAsia="仿宋" w:cs="仿宋_GB2312"/>
              </w:rPr>
              <w:t>项目名称</w:t>
            </w:r>
          </w:p>
        </w:tc>
        <w:tc>
          <w:tcPr>
            <w:tcW w:w="2244" w:type="dxa"/>
            <w:shd w:val="clear" w:color="auto" w:fill="00B0F0"/>
            <w:vAlign w:val="center"/>
          </w:tcPr>
          <w:p>
            <w:pPr>
              <w:keepNext w:val="0"/>
              <w:keepLines w:val="0"/>
              <w:widowControl/>
              <w:suppressLineNumbers w:val="0"/>
              <w:jc w:val="center"/>
              <w:textAlignment w:val="center"/>
              <w:rPr>
                <w:rFonts w:ascii="仿宋" w:hAnsi="仿宋" w:eastAsia="仿宋" w:cs="仿宋_GB2312"/>
              </w:rPr>
            </w:pPr>
            <w:r>
              <w:rPr>
                <w:rFonts w:hint="eastAsia" w:ascii="仿宋" w:hAnsi="仿宋" w:eastAsia="仿宋" w:cs="仿宋"/>
                <w:i w:val="0"/>
                <w:color w:val="000000"/>
                <w:kern w:val="0"/>
                <w:sz w:val="21"/>
                <w:szCs w:val="21"/>
                <w:u w:val="none"/>
                <w:lang w:val="en-US" w:eastAsia="zh-CN" w:bidi="ar"/>
              </w:rPr>
              <w:t>2017年</w:t>
            </w:r>
          </w:p>
        </w:tc>
        <w:tc>
          <w:tcPr>
            <w:tcW w:w="2245" w:type="dxa"/>
            <w:shd w:val="clear" w:color="auto" w:fill="00B0F0"/>
            <w:vAlign w:val="center"/>
          </w:tcPr>
          <w:p>
            <w:pPr>
              <w:keepNext w:val="0"/>
              <w:keepLines w:val="0"/>
              <w:widowControl/>
              <w:suppressLineNumbers w:val="0"/>
              <w:jc w:val="center"/>
              <w:textAlignment w:val="center"/>
              <w:rPr>
                <w:rFonts w:ascii="仿宋" w:hAnsi="仿宋" w:eastAsia="仿宋" w:cs="仿宋_GB2312"/>
              </w:rPr>
            </w:pPr>
            <w:r>
              <w:rPr>
                <w:rFonts w:hint="eastAsia" w:ascii="仿宋" w:hAnsi="仿宋" w:eastAsia="仿宋" w:cs="仿宋"/>
                <w:i w:val="0"/>
                <w:color w:val="000000"/>
                <w:kern w:val="0"/>
                <w:sz w:val="21"/>
                <w:szCs w:val="21"/>
                <w:u w:val="none"/>
                <w:lang w:val="en-US" w:eastAsia="zh-CN" w:bidi="ar"/>
              </w:rPr>
              <w:t>2018年</w:t>
            </w:r>
          </w:p>
        </w:tc>
        <w:tc>
          <w:tcPr>
            <w:tcW w:w="2246" w:type="dxa"/>
            <w:shd w:val="clear" w:color="auto" w:fill="00B0F0"/>
            <w:vAlign w:val="center"/>
          </w:tcPr>
          <w:p>
            <w:pPr>
              <w:jc w:val="center"/>
              <w:rPr>
                <w:rFonts w:ascii="仿宋" w:hAnsi="仿宋" w:eastAsia="仿宋" w:cs="仿宋_GB2312"/>
              </w:rPr>
            </w:pPr>
            <w:r>
              <w:rPr>
                <w:rFonts w:hint="eastAsia" w:ascii="仿宋" w:hAnsi="仿宋" w:eastAsia="仿宋" w:cs="仿宋_GB231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2245" w:type="dxa"/>
            <w:shd w:val="clear" w:color="auto" w:fill="92D050"/>
            <w:vAlign w:val="center"/>
          </w:tcPr>
          <w:p>
            <w:pPr>
              <w:jc w:val="center"/>
              <w:rPr>
                <w:rFonts w:ascii="仿宋" w:hAnsi="仿宋" w:eastAsia="仿宋" w:cs="仿宋_GB2312"/>
              </w:rPr>
            </w:pPr>
            <w:r>
              <w:rPr>
                <w:rFonts w:hint="eastAsia" w:ascii="仿宋" w:hAnsi="仿宋" w:eastAsia="仿宋" w:cs="仿宋_GB2312"/>
              </w:rPr>
              <w:t>免学费</w:t>
            </w:r>
          </w:p>
        </w:tc>
        <w:tc>
          <w:tcPr>
            <w:tcW w:w="2244" w:type="dxa"/>
            <w:shd w:val="clear" w:color="auto" w:fill="92D050"/>
            <w:vAlign w:val="center"/>
          </w:tcPr>
          <w:p>
            <w:pPr>
              <w:keepNext w:val="0"/>
              <w:keepLines w:val="0"/>
              <w:widowControl/>
              <w:suppressLineNumbers w:val="0"/>
              <w:jc w:val="center"/>
              <w:textAlignment w:val="center"/>
              <w:rPr>
                <w:rFonts w:hint="eastAsia" w:ascii="仿宋" w:hAnsi="仿宋" w:eastAsia="仿宋" w:cs="仿宋_GB2312"/>
                <w:lang w:val="en-US" w:eastAsia="zh-CN"/>
              </w:rPr>
            </w:pPr>
            <w:r>
              <w:rPr>
                <w:rFonts w:hint="eastAsia" w:ascii="仿宋" w:hAnsi="仿宋" w:eastAsia="仿宋" w:cs="仿宋"/>
                <w:i w:val="0"/>
                <w:color w:val="000000"/>
                <w:kern w:val="0"/>
                <w:sz w:val="21"/>
                <w:szCs w:val="21"/>
                <w:u w:val="none"/>
                <w:lang w:val="en-US" w:eastAsia="zh-CN" w:bidi="ar"/>
              </w:rPr>
              <w:t>272.24</w:t>
            </w:r>
          </w:p>
        </w:tc>
        <w:tc>
          <w:tcPr>
            <w:tcW w:w="2245" w:type="dxa"/>
            <w:shd w:val="clear" w:color="auto" w:fill="92D050"/>
            <w:vAlign w:val="center"/>
          </w:tcPr>
          <w:p>
            <w:pPr>
              <w:keepNext w:val="0"/>
              <w:keepLines w:val="0"/>
              <w:widowControl/>
              <w:suppressLineNumbers w:val="0"/>
              <w:jc w:val="center"/>
              <w:textAlignment w:val="center"/>
              <w:rPr>
                <w:rFonts w:ascii="仿宋" w:hAnsi="仿宋" w:eastAsia="仿宋" w:cs="仿宋_GB2312"/>
              </w:rPr>
            </w:pPr>
            <w:r>
              <w:rPr>
                <w:rFonts w:hint="eastAsia" w:ascii="仿宋" w:hAnsi="仿宋" w:eastAsia="仿宋" w:cs="仿宋"/>
                <w:i w:val="0"/>
                <w:color w:val="000000"/>
                <w:kern w:val="0"/>
                <w:sz w:val="21"/>
                <w:szCs w:val="21"/>
                <w:u w:val="none"/>
                <w:lang w:val="en-US" w:eastAsia="zh-CN" w:bidi="ar"/>
              </w:rPr>
              <w:t>293.12</w:t>
            </w:r>
          </w:p>
        </w:tc>
        <w:tc>
          <w:tcPr>
            <w:tcW w:w="2246" w:type="dxa"/>
            <w:shd w:val="clear" w:color="auto" w:fill="92D050"/>
            <w:vAlign w:val="center"/>
          </w:tcPr>
          <w:p>
            <w:pPr>
              <w:jc w:val="center"/>
              <w:rPr>
                <w:rFonts w:ascii="仿宋" w:hAnsi="仿宋" w:eastAsia="仿宋" w:cs="仿宋_GB2312"/>
              </w:rPr>
            </w:pPr>
            <w:r>
              <w:rPr>
                <w:rFonts w:hint="eastAsia" w:ascii="仿宋" w:hAnsi="仿宋" w:eastAsia="仿宋" w:cs="仿宋_GB2312"/>
              </w:rPr>
              <w:t>同比增加</w:t>
            </w:r>
            <w:r>
              <w:rPr>
                <w:rFonts w:hint="eastAsia" w:ascii="仿宋" w:hAnsi="仿宋" w:eastAsia="仿宋" w:cs="仿宋_GB2312"/>
                <w:lang w:val="en-US" w:eastAsia="zh-CN"/>
              </w:rPr>
              <w:t>7.6</w:t>
            </w:r>
            <w:r>
              <w:rPr>
                <w:rFonts w:hint="eastAsia" w:ascii="仿宋" w:hAnsi="仿宋" w:eastAsia="仿宋" w:cs="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2245" w:type="dxa"/>
            <w:shd w:val="clear" w:color="auto" w:fill="92D050"/>
            <w:vAlign w:val="center"/>
          </w:tcPr>
          <w:p>
            <w:pPr>
              <w:jc w:val="center"/>
              <w:rPr>
                <w:rFonts w:ascii="仿宋" w:hAnsi="仿宋" w:eastAsia="仿宋" w:cs="仿宋_GB2312"/>
              </w:rPr>
            </w:pPr>
            <w:r>
              <w:rPr>
                <w:rFonts w:hint="eastAsia" w:ascii="仿宋" w:hAnsi="仿宋" w:eastAsia="仿宋" w:cs="仿宋_GB2312"/>
              </w:rPr>
              <w:t>助学金</w:t>
            </w:r>
          </w:p>
        </w:tc>
        <w:tc>
          <w:tcPr>
            <w:tcW w:w="2244" w:type="dxa"/>
            <w:shd w:val="clear" w:color="auto" w:fill="92D050"/>
            <w:vAlign w:val="center"/>
          </w:tcPr>
          <w:p>
            <w:pPr>
              <w:keepNext w:val="0"/>
              <w:keepLines w:val="0"/>
              <w:widowControl/>
              <w:suppressLineNumbers w:val="0"/>
              <w:jc w:val="center"/>
              <w:textAlignment w:val="center"/>
              <w:rPr>
                <w:rFonts w:hint="eastAsia" w:ascii="仿宋" w:hAnsi="仿宋" w:eastAsia="仿宋" w:cs="仿宋_GB2312"/>
                <w:lang w:val="en-US" w:eastAsia="zh-CN"/>
              </w:rPr>
            </w:pPr>
            <w:r>
              <w:rPr>
                <w:rFonts w:hint="eastAsia" w:ascii="仿宋" w:hAnsi="仿宋" w:eastAsia="仿宋" w:cs="仿宋"/>
                <w:i w:val="0"/>
                <w:color w:val="000000"/>
                <w:kern w:val="0"/>
                <w:sz w:val="21"/>
                <w:szCs w:val="21"/>
                <w:u w:val="none"/>
                <w:lang w:val="en-US" w:eastAsia="zh-CN" w:bidi="ar"/>
              </w:rPr>
              <w:t>62.6</w:t>
            </w:r>
          </w:p>
        </w:tc>
        <w:tc>
          <w:tcPr>
            <w:tcW w:w="2245" w:type="dxa"/>
            <w:shd w:val="clear" w:color="auto" w:fill="92D050"/>
            <w:vAlign w:val="center"/>
          </w:tcPr>
          <w:p>
            <w:pPr>
              <w:keepNext w:val="0"/>
              <w:keepLines w:val="0"/>
              <w:widowControl/>
              <w:suppressLineNumbers w:val="0"/>
              <w:jc w:val="center"/>
              <w:textAlignment w:val="center"/>
              <w:rPr>
                <w:rFonts w:ascii="仿宋" w:hAnsi="仿宋" w:eastAsia="仿宋" w:cs="仿宋_GB2312"/>
              </w:rPr>
            </w:pPr>
            <w:r>
              <w:rPr>
                <w:rFonts w:hint="eastAsia" w:ascii="仿宋" w:hAnsi="仿宋" w:eastAsia="仿宋" w:cs="仿宋"/>
                <w:i w:val="0"/>
                <w:color w:val="000000"/>
                <w:kern w:val="0"/>
                <w:sz w:val="21"/>
                <w:szCs w:val="21"/>
                <w:u w:val="none"/>
                <w:lang w:val="en-US" w:eastAsia="zh-CN" w:bidi="ar"/>
              </w:rPr>
              <w:t>79.5</w:t>
            </w:r>
          </w:p>
        </w:tc>
        <w:tc>
          <w:tcPr>
            <w:tcW w:w="2246" w:type="dxa"/>
            <w:shd w:val="clear" w:color="auto" w:fill="92D050"/>
            <w:vAlign w:val="center"/>
          </w:tcPr>
          <w:p>
            <w:pPr>
              <w:jc w:val="center"/>
              <w:rPr>
                <w:rFonts w:ascii="仿宋" w:hAnsi="仿宋" w:eastAsia="仿宋" w:cs="仿宋_GB2312"/>
              </w:rPr>
            </w:pPr>
            <w:r>
              <w:rPr>
                <w:rFonts w:hint="eastAsia" w:ascii="仿宋" w:hAnsi="仿宋" w:eastAsia="仿宋" w:cs="仿宋_GB2312"/>
              </w:rPr>
              <w:t>同比增加</w:t>
            </w:r>
            <w:r>
              <w:rPr>
                <w:rFonts w:hint="eastAsia" w:ascii="仿宋" w:hAnsi="仿宋" w:eastAsia="仿宋" w:cs="仿宋_GB2312"/>
                <w:lang w:val="en-US" w:eastAsia="zh-CN"/>
              </w:rPr>
              <w:t>27</w:t>
            </w:r>
            <w:r>
              <w:rPr>
                <w:rFonts w:hint="eastAsia" w:ascii="仿宋" w:hAnsi="仿宋" w:eastAsia="仿宋" w:cs="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2245" w:type="dxa"/>
            <w:shd w:val="clear" w:color="auto" w:fill="92D050"/>
            <w:vAlign w:val="center"/>
          </w:tcPr>
          <w:p>
            <w:pPr>
              <w:jc w:val="center"/>
              <w:rPr>
                <w:rFonts w:ascii="仿宋" w:hAnsi="仿宋" w:eastAsia="仿宋" w:cs="仿宋_GB2312"/>
              </w:rPr>
            </w:pPr>
            <w:r>
              <w:rPr>
                <w:rFonts w:hint="eastAsia" w:ascii="仿宋" w:hAnsi="仿宋" w:eastAsia="仿宋" w:cs="仿宋_GB2312"/>
              </w:rPr>
              <w:t>建档立卡</w:t>
            </w:r>
          </w:p>
        </w:tc>
        <w:tc>
          <w:tcPr>
            <w:tcW w:w="2244" w:type="dxa"/>
            <w:shd w:val="clear" w:color="auto" w:fill="92D050"/>
            <w:vAlign w:val="center"/>
          </w:tcPr>
          <w:p>
            <w:pPr>
              <w:keepNext w:val="0"/>
              <w:keepLines w:val="0"/>
              <w:widowControl/>
              <w:suppressLineNumbers w:val="0"/>
              <w:jc w:val="center"/>
              <w:textAlignment w:val="center"/>
              <w:rPr>
                <w:rFonts w:hint="eastAsia" w:ascii="仿宋" w:hAnsi="仿宋" w:eastAsia="仿宋" w:cs="仿宋_GB2312"/>
                <w:lang w:val="en-US" w:eastAsia="zh-CN"/>
              </w:rPr>
            </w:pPr>
            <w:r>
              <w:rPr>
                <w:rFonts w:hint="eastAsia" w:ascii="仿宋" w:hAnsi="仿宋" w:eastAsia="仿宋" w:cs="仿宋"/>
                <w:i w:val="0"/>
                <w:color w:val="000000"/>
                <w:kern w:val="0"/>
                <w:sz w:val="21"/>
                <w:szCs w:val="21"/>
                <w:u w:val="none"/>
                <w:lang w:val="en-US" w:eastAsia="zh-CN" w:bidi="ar"/>
              </w:rPr>
              <w:t>16.32</w:t>
            </w:r>
          </w:p>
        </w:tc>
        <w:tc>
          <w:tcPr>
            <w:tcW w:w="2245" w:type="dxa"/>
            <w:shd w:val="clear" w:color="auto" w:fill="92D050"/>
            <w:vAlign w:val="center"/>
          </w:tcPr>
          <w:p>
            <w:pPr>
              <w:keepNext w:val="0"/>
              <w:keepLines w:val="0"/>
              <w:widowControl/>
              <w:suppressLineNumbers w:val="0"/>
              <w:jc w:val="center"/>
              <w:textAlignment w:val="center"/>
              <w:rPr>
                <w:rFonts w:ascii="仿宋" w:hAnsi="仿宋" w:eastAsia="仿宋" w:cs="仿宋_GB2312"/>
              </w:rPr>
            </w:pPr>
            <w:r>
              <w:rPr>
                <w:rFonts w:hint="eastAsia" w:ascii="仿宋" w:hAnsi="仿宋" w:eastAsia="仿宋" w:cs="仿宋"/>
                <w:i w:val="0"/>
                <w:color w:val="000000"/>
                <w:kern w:val="0"/>
                <w:sz w:val="21"/>
                <w:szCs w:val="21"/>
                <w:u w:val="none"/>
                <w:lang w:val="en-US" w:eastAsia="zh-CN" w:bidi="ar"/>
              </w:rPr>
              <w:t>32.12</w:t>
            </w:r>
          </w:p>
        </w:tc>
        <w:tc>
          <w:tcPr>
            <w:tcW w:w="2246" w:type="dxa"/>
            <w:shd w:val="clear" w:color="auto" w:fill="92D050"/>
            <w:vAlign w:val="center"/>
          </w:tcPr>
          <w:p>
            <w:pPr>
              <w:jc w:val="center"/>
              <w:rPr>
                <w:rFonts w:ascii="仿宋" w:hAnsi="仿宋" w:eastAsia="仿宋" w:cs="仿宋_GB2312"/>
              </w:rPr>
            </w:pPr>
            <w:r>
              <w:rPr>
                <w:rFonts w:hint="eastAsia" w:ascii="仿宋" w:hAnsi="仿宋" w:eastAsia="仿宋" w:cs="仿宋_GB2312"/>
              </w:rPr>
              <w:t>同比增加</w:t>
            </w:r>
            <w:r>
              <w:rPr>
                <w:rFonts w:hint="eastAsia" w:ascii="仿宋" w:hAnsi="仿宋" w:eastAsia="仿宋" w:cs="仿宋_GB2312"/>
                <w:lang w:val="en-US" w:eastAsia="zh-CN"/>
              </w:rPr>
              <w:t>97</w:t>
            </w:r>
            <w:r>
              <w:rPr>
                <w:rFonts w:hint="eastAsia" w:ascii="仿宋" w:hAnsi="仿宋" w:eastAsia="仿宋" w:cs="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2245" w:type="dxa"/>
            <w:shd w:val="clear" w:color="auto" w:fill="92D050"/>
            <w:vAlign w:val="center"/>
          </w:tcPr>
          <w:p>
            <w:pPr>
              <w:jc w:val="center"/>
              <w:rPr>
                <w:rFonts w:ascii="仿宋" w:hAnsi="仿宋" w:eastAsia="仿宋" w:cs="仿宋_GB2312"/>
              </w:rPr>
            </w:pPr>
            <w:r>
              <w:rPr>
                <w:rFonts w:hint="eastAsia" w:ascii="仿宋" w:hAnsi="仿宋" w:eastAsia="仿宋" w:cs="仿宋_GB2312"/>
              </w:rPr>
              <w:t>生均拨款</w:t>
            </w:r>
          </w:p>
        </w:tc>
        <w:tc>
          <w:tcPr>
            <w:tcW w:w="2244" w:type="dxa"/>
            <w:shd w:val="clear" w:color="auto" w:fill="92D050"/>
            <w:vAlign w:val="center"/>
          </w:tcPr>
          <w:p>
            <w:pPr>
              <w:keepNext w:val="0"/>
              <w:keepLines w:val="0"/>
              <w:widowControl/>
              <w:suppressLineNumbers w:val="0"/>
              <w:jc w:val="center"/>
              <w:textAlignment w:val="center"/>
              <w:rPr>
                <w:rFonts w:hint="eastAsia" w:ascii="仿宋" w:hAnsi="仿宋" w:eastAsia="仿宋" w:cs="仿宋_GB2312"/>
                <w:lang w:val="en-US" w:eastAsia="zh-CN"/>
              </w:rPr>
            </w:pPr>
            <w:r>
              <w:rPr>
                <w:rFonts w:hint="eastAsia" w:ascii="仿宋" w:hAnsi="仿宋" w:eastAsia="仿宋" w:cs="仿宋"/>
                <w:i w:val="0"/>
                <w:color w:val="000000"/>
                <w:kern w:val="0"/>
                <w:sz w:val="21"/>
                <w:szCs w:val="21"/>
                <w:u w:val="none"/>
                <w:lang w:val="en-US" w:eastAsia="zh-CN" w:bidi="ar"/>
              </w:rPr>
              <w:t>62</w:t>
            </w:r>
          </w:p>
        </w:tc>
        <w:tc>
          <w:tcPr>
            <w:tcW w:w="2245" w:type="dxa"/>
            <w:shd w:val="clear" w:color="auto" w:fill="92D050"/>
            <w:vAlign w:val="center"/>
          </w:tcPr>
          <w:p>
            <w:pPr>
              <w:keepNext w:val="0"/>
              <w:keepLines w:val="0"/>
              <w:widowControl/>
              <w:suppressLineNumbers w:val="0"/>
              <w:jc w:val="center"/>
              <w:textAlignment w:val="center"/>
              <w:rPr>
                <w:rFonts w:ascii="仿宋" w:hAnsi="仿宋" w:eastAsia="仿宋" w:cs="仿宋_GB2312"/>
              </w:rPr>
            </w:pPr>
            <w:r>
              <w:rPr>
                <w:rFonts w:hint="eastAsia" w:ascii="仿宋" w:hAnsi="仿宋" w:eastAsia="仿宋" w:cs="仿宋"/>
                <w:i w:val="0"/>
                <w:color w:val="000000"/>
                <w:kern w:val="0"/>
                <w:sz w:val="21"/>
                <w:szCs w:val="21"/>
                <w:u w:val="none"/>
                <w:lang w:val="en-US" w:eastAsia="zh-CN" w:bidi="ar"/>
              </w:rPr>
              <w:t>200</w:t>
            </w:r>
          </w:p>
        </w:tc>
        <w:tc>
          <w:tcPr>
            <w:tcW w:w="2246" w:type="dxa"/>
            <w:shd w:val="clear" w:color="auto" w:fill="92D050"/>
            <w:vAlign w:val="center"/>
          </w:tcPr>
          <w:p>
            <w:pPr>
              <w:jc w:val="center"/>
              <w:rPr>
                <w:rFonts w:ascii="仿宋" w:hAnsi="仿宋" w:eastAsia="仿宋" w:cs="仿宋_GB2312"/>
              </w:rPr>
            </w:pPr>
            <w:r>
              <w:rPr>
                <w:rFonts w:hint="eastAsia" w:ascii="仿宋" w:hAnsi="仿宋" w:eastAsia="仿宋" w:cs="仿宋_GB2312"/>
              </w:rPr>
              <w:t>同比增加</w:t>
            </w:r>
            <w:r>
              <w:rPr>
                <w:rFonts w:hint="eastAsia" w:ascii="仿宋" w:hAnsi="仿宋" w:eastAsia="仿宋" w:cs="仿宋_GB2312"/>
                <w:lang w:val="en-US" w:eastAsia="zh-CN"/>
              </w:rPr>
              <w:t>223</w:t>
            </w:r>
            <w:r>
              <w:rPr>
                <w:rFonts w:hint="eastAsia" w:ascii="仿宋" w:hAnsi="仿宋" w:eastAsia="仿宋" w:cs="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2245" w:type="dxa"/>
            <w:shd w:val="clear" w:color="auto" w:fill="92D050"/>
            <w:vAlign w:val="center"/>
          </w:tcPr>
          <w:p>
            <w:pPr>
              <w:jc w:val="center"/>
              <w:rPr>
                <w:rFonts w:ascii="仿宋" w:hAnsi="仿宋" w:eastAsia="仿宋" w:cs="仿宋_GB2312"/>
              </w:rPr>
            </w:pPr>
            <w:r>
              <w:rPr>
                <w:rFonts w:hint="eastAsia" w:ascii="仿宋" w:hAnsi="仿宋" w:eastAsia="仿宋" w:cs="仿宋_GB2312"/>
              </w:rPr>
              <w:t>质量提升</w:t>
            </w:r>
          </w:p>
        </w:tc>
        <w:tc>
          <w:tcPr>
            <w:tcW w:w="2244" w:type="dxa"/>
            <w:shd w:val="clear" w:color="auto" w:fill="92D050"/>
            <w:vAlign w:val="center"/>
          </w:tcPr>
          <w:p>
            <w:pPr>
              <w:keepNext w:val="0"/>
              <w:keepLines w:val="0"/>
              <w:widowControl/>
              <w:suppressLineNumbers w:val="0"/>
              <w:jc w:val="center"/>
              <w:textAlignment w:val="center"/>
              <w:rPr>
                <w:rFonts w:hint="eastAsia" w:ascii="仿宋" w:hAnsi="仿宋" w:eastAsia="仿宋" w:cs="仿宋_GB2312"/>
                <w:lang w:val="en-US" w:eastAsia="zh-CN"/>
              </w:rPr>
            </w:pPr>
            <w:r>
              <w:rPr>
                <w:rFonts w:hint="eastAsia" w:ascii="仿宋" w:hAnsi="仿宋" w:eastAsia="仿宋" w:cs="仿宋"/>
                <w:i w:val="0"/>
                <w:color w:val="000000"/>
                <w:kern w:val="0"/>
                <w:sz w:val="21"/>
                <w:szCs w:val="21"/>
                <w:u w:val="none"/>
                <w:lang w:val="en-US" w:eastAsia="zh-CN" w:bidi="ar"/>
              </w:rPr>
              <w:t>217.5</w:t>
            </w:r>
          </w:p>
        </w:tc>
        <w:tc>
          <w:tcPr>
            <w:tcW w:w="2245" w:type="dxa"/>
            <w:shd w:val="clear" w:color="auto" w:fill="92D050"/>
            <w:vAlign w:val="center"/>
          </w:tcPr>
          <w:p>
            <w:pPr>
              <w:keepNext w:val="0"/>
              <w:keepLines w:val="0"/>
              <w:widowControl/>
              <w:suppressLineNumbers w:val="0"/>
              <w:jc w:val="center"/>
              <w:textAlignment w:val="center"/>
              <w:rPr>
                <w:rFonts w:ascii="仿宋" w:hAnsi="仿宋" w:eastAsia="仿宋" w:cs="仿宋_GB2312"/>
              </w:rPr>
            </w:pPr>
            <w:r>
              <w:rPr>
                <w:rFonts w:hint="eastAsia" w:ascii="仿宋" w:hAnsi="仿宋" w:eastAsia="仿宋" w:cs="仿宋"/>
                <w:i w:val="0"/>
                <w:color w:val="000000"/>
                <w:kern w:val="0"/>
                <w:sz w:val="21"/>
                <w:szCs w:val="21"/>
                <w:u w:val="none"/>
                <w:lang w:val="en-US" w:eastAsia="zh-CN" w:bidi="ar"/>
              </w:rPr>
              <w:t>225</w:t>
            </w:r>
          </w:p>
        </w:tc>
        <w:tc>
          <w:tcPr>
            <w:tcW w:w="2246" w:type="dxa"/>
            <w:shd w:val="clear" w:color="auto" w:fill="92D050"/>
            <w:vAlign w:val="center"/>
          </w:tcPr>
          <w:p>
            <w:pPr>
              <w:jc w:val="center"/>
              <w:rPr>
                <w:rFonts w:ascii="仿宋" w:hAnsi="仿宋" w:eastAsia="仿宋" w:cs="仿宋_GB2312"/>
              </w:rPr>
            </w:pPr>
            <w:r>
              <w:rPr>
                <w:rFonts w:hint="eastAsia" w:ascii="仿宋" w:hAnsi="仿宋" w:eastAsia="仿宋" w:cs="仿宋_GB2312"/>
              </w:rPr>
              <w:t>同比增加</w:t>
            </w:r>
            <w:r>
              <w:rPr>
                <w:rFonts w:hint="eastAsia" w:ascii="仿宋" w:hAnsi="仿宋" w:eastAsia="仿宋" w:cs="仿宋_GB2312"/>
                <w:lang w:val="en-US" w:eastAsia="zh-CN"/>
              </w:rPr>
              <w:t>3.4</w:t>
            </w:r>
            <w:r>
              <w:rPr>
                <w:rFonts w:hint="eastAsia" w:ascii="仿宋" w:hAnsi="仿宋" w:eastAsia="仿宋" w:cs="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2245" w:type="dxa"/>
            <w:shd w:val="clear" w:color="auto" w:fill="92D050"/>
            <w:vAlign w:val="center"/>
          </w:tcPr>
          <w:p>
            <w:pPr>
              <w:jc w:val="center"/>
              <w:rPr>
                <w:rFonts w:ascii="仿宋" w:hAnsi="仿宋" w:eastAsia="仿宋" w:cs="仿宋_GB2312"/>
              </w:rPr>
            </w:pPr>
            <w:r>
              <w:rPr>
                <w:rFonts w:hint="eastAsia" w:ascii="仿宋" w:hAnsi="仿宋" w:eastAsia="仿宋" w:cs="仿宋_GB2312"/>
              </w:rPr>
              <w:t>新型农民</w:t>
            </w:r>
          </w:p>
        </w:tc>
        <w:tc>
          <w:tcPr>
            <w:tcW w:w="2244" w:type="dxa"/>
            <w:shd w:val="clear" w:color="auto" w:fill="92D050"/>
            <w:vAlign w:val="center"/>
          </w:tcPr>
          <w:p>
            <w:pPr>
              <w:keepNext w:val="0"/>
              <w:keepLines w:val="0"/>
              <w:widowControl/>
              <w:suppressLineNumbers w:val="0"/>
              <w:jc w:val="center"/>
              <w:textAlignment w:val="center"/>
              <w:rPr>
                <w:rFonts w:ascii="仿宋" w:hAnsi="仿宋" w:eastAsia="仿宋" w:cs="仿宋_GB2312"/>
              </w:rPr>
            </w:pPr>
            <w:r>
              <w:rPr>
                <w:rFonts w:hint="eastAsia" w:ascii="仿宋" w:hAnsi="仿宋" w:eastAsia="仿宋" w:cs="仿宋"/>
                <w:i w:val="0"/>
                <w:color w:val="000000"/>
                <w:kern w:val="0"/>
                <w:sz w:val="21"/>
                <w:szCs w:val="21"/>
                <w:u w:val="none"/>
                <w:lang w:val="en-US" w:eastAsia="zh-CN" w:bidi="ar"/>
              </w:rPr>
              <w:t>50</w:t>
            </w:r>
          </w:p>
        </w:tc>
        <w:tc>
          <w:tcPr>
            <w:tcW w:w="2245" w:type="dxa"/>
            <w:shd w:val="clear" w:color="auto" w:fill="92D050"/>
            <w:vAlign w:val="center"/>
          </w:tcPr>
          <w:p>
            <w:pPr>
              <w:keepNext w:val="0"/>
              <w:keepLines w:val="0"/>
              <w:widowControl/>
              <w:suppressLineNumbers w:val="0"/>
              <w:jc w:val="center"/>
              <w:textAlignment w:val="center"/>
              <w:rPr>
                <w:rFonts w:ascii="仿宋" w:hAnsi="仿宋" w:eastAsia="仿宋" w:cs="仿宋_GB2312"/>
              </w:rPr>
            </w:pPr>
            <w:r>
              <w:rPr>
                <w:rFonts w:hint="eastAsia" w:ascii="仿宋" w:hAnsi="仿宋" w:eastAsia="仿宋" w:cs="仿宋"/>
                <w:i w:val="0"/>
                <w:color w:val="000000"/>
                <w:kern w:val="0"/>
                <w:sz w:val="21"/>
                <w:szCs w:val="21"/>
                <w:u w:val="none"/>
                <w:lang w:val="en-US" w:eastAsia="zh-CN" w:bidi="ar"/>
              </w:rPr>
              <w:t>50</w:t>
            </w:r>
          </w:p>
        </w:tc>
        <w:tc>
          <w:tcPr>
            <w:tcW w:w="2246" w:type="dxa"/>
            <w:shd w:val="clear" w:color="auto" w:fill="92D050"/>
            <w:vAlign w:val="center"/>
          </w:tcPr>
          <w:p>
            <w:pPr>
              <w:jc w:val="center"/>
              <w:rPr>
                <w:rFonts w:ascii="仿宋" w:hAnsi="仿宋" w:eastAsia="仿宋"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2245" w:type="dxa"/>
            <w:shd w:val="clear" w:color="auto" w:fill="92D050"/>
            <w:vAlign w:val="center"/>
          </w:tcPr>
          <w:p>
            <w:pPr>
              <w:jc w:val="center"/>
              <w:rPr>
                <w:rFonts w:ascii="仿宋" w:hAnsi="仿宋" w:eastAsia="仿宋" w:cs="仿宋_GB2312"/>
              </w:rPr>
            </w:pPr>
            <w:r>
              <w:rPr>
                <w:rFonts w:hint="eastAsia" w:ascii="仿宋" w:hAnsi="仿宋" w:eastAsia="仿宋" w:cs="仿宋_GB2312"/>
              </w:rPr>
              <w:t>控编运行</w:t>
            </w:r>
          </w:p>
        </w:tc>
        <w:tc>
          <w:tcPr>
            <w:tcW w:w="2244" w:type="dxa"/>
            <w:shd w:val="clear" w:color="auto" w:fill="92D050"/>
            <w:vAlign w:val="center"/>
          </w:tcPr>
          <w:p>
            <w:pPr>
              <w:keepNext w:val="0"/>
              <w:keepLines w:val="0"/>
              <w:widowControl/>
              <w:suppressLineNumbers w:val="0"/>
              <w:jc w:val="center"/>
              <w:textAlignment w:val="center"/>
              <w:rPr>
                <w:rFonts w:ascii="仿宋" w:hAnsi="仿宋" w:eastAsia="仿宋" w:cs="仿宋_GB2312"/>
              </w:rPr>
            </w:pPr>
            <w:r>
              <w:rPr>
                <w:rFonts w:hint="eastAsia" w:ascii="仿宋" w:hAnsi="仿宋" w:eastAsia="仿宋" w:cs="仿宋"/>
                <w:i w:val="0"/>
                <w:color w:val="000000"/>
                <w:kern w:val="0"/>
                <w:sz w:val="21"/>
                <w:szCs w:val="21"/>
                <w:u w:val="none"/>
                <w:lang w:val="en-US" w:eastAsia="zh-CN" w:bidi="ar"/>
              </w:rPr>
              <w:t>50</w:t>
            </w:r>
          </w:p>
        </w:tc>
        <w:tc>
          <w:tcPr>
            <w:tcW w:w="2245" w:type="dxa"/>
            <w:shd w:val="clear" w:color="auto" w:fill="92D050"/>
            <w:vAlign w:val="center"/>
          </w:tcPr>
          <w:p>
            <w:pPr>
              <w:keepNext w:val="0"/>
              <w:keepLines w:val="0"/>
              <w:widowControl/>
              <w:suppressLineNumbers w:val="0"/>
              <w:jc w:val="center"/>
              <w:textAlignment w:val="center"/>
              <w:rPr>
                <w:rFonts w:ascii="仿宋" w:hAnsi="仿宋" w:eastAsia="仿宋" w:cs="仿宋_GB2312"/>
              </w:rPr>
            </w:pPr>
            <w:r>
              <w:rPr>
                <w:rFonts w:hint="eastAsia" w:ascii="仿宋" w:hAnsi="仿宋" w:eastAsia="仿宋" w:cs="仿宋"/>
                <w:i w:val="0"/>
                <w:color w:val="000000"/>
                <w:kern w:val="0"/>
                <w:sz w:val="21"/>
                <w:szCs w:val="21"/>
                <w:u w:val="none"/>
                <w:lang w:val="en-US" w:eastAsia="zh-CN" w:bidi="ar"/>
              </w:rPr>
              <w:t>50</w:t>
            </w:r>
          </w:p>
        </w:tc>
        <w:tc>
          <w:tcPr>
            <w:tcW w:w="2246" w:type="dxa"/>
            <w:shd w:val="clear" w:color="auto" w:fill="92D050"/>
            <w:vAlign w:val="center"/>
          </w:tcPr>
          <w:p>
            <w:pPr>
              <w:jc w:val="center"/>
              <w:rPr>
                <w:rFonts w:ascii="仿宋" w:hAnsi="仿宋" w:eastAsia="仿宋"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exact"/>
        </w:trPr>
        <w:tc>
          <w:tcPr>
            <w:tcW w:w="2245" w:type="dxa"/>
            <w:shd w:val="clear" w:color="auto" w:fill="92D050"/>
            <w:vAlign w:val="center"/>
          </w:tcPr>
          <w:p>
            <w:pPr>
              <w:jc w:val="center"/>
              <w:rPr>
                <w:rFonts w:ascii="仿宋" w:hAnsi="仿宋" w:eastAsia="仿宋" w:cs="仿宋_GB2312"/>
              </w:rPr>
            </w:pPr>
            <w:r>
              <w:rPr>
                <w:rFonts w:hint="eastAsia" w:ascii="仿宋" w:hAnsi="仿宋" w:eastAsia="仿宋" w:cs="仿宋_GB2312"/>
              </w:rPr>
              <w:t>合计</w:t>
            </w:r>
          </w:p>
        </w:tc>
        <w:tc>
          <w:tcPr>
            <w:tcW w:w="2244" w:type="dxa"/>
            <w:shd w:val="clear" w:color="auto" w:fill="92D050"/>
            <w:vAlign w:val="center"/>
          </w:tcPr>
          <w:p>
            <w:pPr>
              <w:keepNext w:val="0"/>
              <w:keepLines w:val="0"/>
              <w:widowControl/>
              <w:suppressLineNumbers w:val="0"/>
              <w:jc w:val="center"/>
              <w:textAlignment w:val="center"/>
              <w:rPr>
                <w:rFonts w:hint="eastAsia" w:ascii="仿宋" w:hAnsi="仿宋" w:eastAsia="仿宋" w:cs="仿宋_GB2312"/>
                <w:lang w:val="en-US" w:eastAsia="zh-CN"/>
              </w:rPr>
            </w:pPr>
            <w:r>
              <w:rPr>
                <w:rFonts w:hint="eastAsia" w:ascii="仿宋" w:hAnsi="仿宋" w:eastAsia="仿宋" w:cs="仿宋_GB2312"/>
                <w:lang w:val="en-US" w:eastAsia="zh-CN"/>
              </w:rPr>
              <w:t>730.66</w:t>
            </w:r>
          </w:p>
        </w:tc>
        <w:tc>
          <w:tcPr>
            <w:tcW w:w="2245" w:type="dxa"/>
            <w:shd w:val="clear" w:color="auto" w:fill="92D050"/>
            <w:vAlign w:val="center"/>
          </w:tcPr>
          <w:p>
            <w:pPr>
              <w:keepNext w:val="0"/>
              <w:keepLines w:val="0"/>
              <w:widowControl/>
              <w:suppressLineNumbers w:val="0"/>
              <w:jc w:val="center"/>
              <w:textAlignment w:val="center"/>
              <w:rPr>
                <w:rFonts w:hint="eastAsia" w:ascii="仿宋" w:hAnsi="仿宋" w:eastAsia="仿宋" w:cs="仿宋_GB2312"/>
                <w:lang w:val="en-US" w:eastAsia="zh-CN"/>
              </w:rPr>
            </w:pPr>
            <w:r>
              <w:rPr>
                <w:rFonts w:hint="eastAsia" w:ascii="仿宋" w:hAnsi="仿宋" w:eastAsia="仿宋" w:cs="仿宋_GB2312"/>
                <w:lang w:val="en-US" w:eastAsia="zh-CN"/>
              </w:rPr>
              <w:t>929.7</w:t>
            </w:r>
          </w:p>
        </w:tc>
        <w:tc>
          <w:tcPr>
            <w:tcW w:w="2246" w:type="dxa"/>
            <w:shd w:val="clear" w:color="auto" w:fill="92D050"/>
            <w:vAlign w:val="center"/>
          </w:tcPr>
          <w:p>
            <w:pPr>
              <w:jc w:val="center"/>
              <w:rPr>
                <w:rFonts w:ascii="仿宋" w:hAnsi="仿宋" w:eastAsia="仿宋" w:cs="仿宋_GB2312"/>
              </w:rPr>
            </w:pPr>
            <w:r>
              <w:rPr>
                <w:rFonts w:hint="eastAsia" w:ascii="仿宋" w:hAnsi="仿宋" w:eastAsia="仿宋" w:cs="仿宋_GB2312"/>
              </w:rPr>
              <w:t>同比增加</w:t>
            </w:r>
            <w:r>
              <w:rPr>
                <w:rFonts w:hint="eastAsia" w:ascii="仿宋" w:hAnsi="仿宋" w:eastAsia="仿宋" w:cs="仿宋_GB2312"/>
                <w:lang w:val="en-US" w:eastAsia="zh-CN"/>
              </w:rPr>
              <w:t>27.2</w:t>
            </w:r>
            <w:r>
              <w:rPr>
                <w:rFonts w:hint="eastAsia" w:ascii="仿宋" w:hAnsi="仿宋" w:eastAsia="仿宋" w:cs="仿宋_GB2312"/>
              </w:rPr>
              <w:t>%</w:t>
            </w:r>
          </w:p>
        </w:tc>
      </w:tr>
    </w:tbl>
    <w:p>
      <w:pPr>
        <w:rPr>
          <w:rFonts w:ascii="仿宋_GB2312" w:hAnsi="仿宋_GB2312" w:eastAsia="仿宋_GB2312" w:cs="仿宋_GB2312"/>
          <w:color w:val="333333"/>
          <w:sz w:val="32"/>
          <w:szCs w:val="32"/>
          <w:shd w:val="clear" w:color="auto" w:fill="FFFFFF"/>
        </w:rPr>
      </w:pPr>
    </w:p>
    <w:p>
      <w:pPr>
        <w:rPr>
          <w:rFonts w:ascii="仿宋_GB2312" w:hAnsi="仿宋_GB2312" w:eastAsia="仿宋_GB2312" w:cs="仿宋_GB2312"/>
          <w:color w:val="333333"/>
          <w:sz w:val="32"/>
          <w:szCs w:val="32"/>
          <w:shd w:val="clear" w:color="auto" w:fill="FFFFFF"/>
        </w:rPr>
      </w:pPr>
      <w:r>
        <w:drawing>
          <wp:inline distT="0" distB="0" distL="114300" distR="114300">
            <wp:extent cx="5666740" cy="2585085"/>
            <wp:effectExtent l="13970" t="13970" r="15240" b="29845"/>
            <wp:docPr id="1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6.1.2生均拨款</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201</w:t>
      </w:r>
      <w:r>
        <w:rPr>
          <w:rFonts w:hint="eastAsia" w:ascii="仿宋_GB2312" w:hAnsi="仿宋_GB2312" w:eastAsia="仿宋_GB2312" w:cs="仿宋_GB2312"/>
          <w:color w:val="333333"/>
          <w:sz w:val="32"/>
          <w:szCs w:val="32"/>
          <w:shd w:val="clear" w:color="auto" w:fill="FFFFFF"/>
          <w:lang w:val="en-US" w:eastAsia="zh-CN"/>
        </w:rPr>
        <w:t>8</w:t>
      </w:r>
      <w:r>
        <w:rPr>
          <w:rFonts w:hint="eastAsia" w:ascii="仿宋_GB2312" w:hAnsi="仿宋_GB2312" w:eastAsia="仿宋_GB2312" w:cs="仿宋_GB2312"/>
          <w:color w:val="333333"/>
          <w:sz w:val="32"/>
          <w:szCs w:val="32"/>
          <w:shd w:val="clear" w:color="auto" w:fill="FFFFFF"/>
        </w:rPr>
        <w:t>年生均拨款</w:t>
      </w:r>
      <w:r>
        <w:rPr>
          <w:rFonts w:hint="eastAsia" w:ascii="仿宋_GB2312" w:hAnsi="仿宋_GB2312" w:eastAsia="仿宋_GB2312" w:cs="仿宋_GB2312"/>
          <w:color w:val="333333"/>
          <w:sz w:val="32"/>
          <w:szCs w:val="32"/>
          <w:shd w:val="clear" w:color="auto" w:fill="FFFFFF"/>
          <w:lang w:val="en-US" w:eastAsia="zh-CN"/>
        </w:rPr>
        <w:t>200</w:t>
      </w:r>
      <w:r>
        <w:rPr>
          <w:rFonts w:hint="eastAsia" w:ascii="仿宋_GB2312" w:hAnsi="仿宋_GB2312" w:eastAsia="仿宋_GB2312" w:cs="仿宋_GB2312"/>
          <w:color w:val="333333"/>
          <w:sz w:val="32"/>
          <w:szCs w:val="32"/>
          <w:shd w:val="clear" w:color="auto" w:fill="FFFFFF"/>
        </w:rPr>
        <w:t>万元。</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6.1.3项目投入</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201</w:t>
      </w:r>
      <w:r>
        <w:rPr>
          <w:rFonts w:hint="eastAsia" w:ascii="仿宋_GB2312" w:hAnsi="仿宋_GB2312" w:eastAsia="仿宋_GB2312" w:cs="仿宋_GB2312"/>
          <w:color w:val="333333"/>
          <w:sz w:val="32"/>
          <w:szCs w:val="32"/>
          <w:shd w:val="clear" w:color="auto" w:fill="FFFFFF"/>
          <w:lang w:val="en-US" w:eastAsia="zh-CN"/>
        </w:rPr>
        <w:t>7</w:t>
      </w:r>
      <w:r>
        <w:rPr>
          <w:rFonts w:hint="eastAsia" w:ascii="仿宋_GB2312" w:hAnsi="仿宋_GB2312" w:eastAsia="仿宋_GB2312" w:cs="仿宋_GB2312"/>
          <w:color w:val="333333"/>
          <w:sz w:val="32"/>
          <w:szCs w:val="32"/>
          <w:shd w:val="clear" w:color="auto" w:fill="FFFFFF"/>
        </w:rPr>
        <w:t>年中职学校质量提升工程拨款</w:t>
      </w:r>
      <w:r>
        <w:rPr>
          <w:rFonts w:hint="eastAsia" w:ascii="仿宋_GB2312" w:hAnsi="仿宋_GB2312" w:eastAsia="仿宋_GB2312" w:cs="仿宋_GB2312"/>
          <w:color w:val="333333"/>
          <w:sz w:val="32"/>
          <w:szCs w:val="32"/>
          <w:shd w:val="clear" w:color="auto" w:fill="FFFFFF"/>
          <w:lang w:val="en-US" w:eastAsia="zh-CN"/>
        </w:rPr>
        <w:t>217.5</w:t>
      </w:r>
      <w:r>
        <w:rPr>
          <w:rFonts w:hint="eastAsia" w:ascii="仿宋_GB2312" w:hAnsi="仿宋_GB2312" w:eastAsia="仿宋_GB2312" w:cs="仿宋_GB2312"/>
          <w:color w:val="333333"/>
          <w:sz w:val="32"/>
          <w:szCs w:val="32"/>
          <w:shd w:val="clear" w:color="auto" w:fill="FFFFFF"/>
        </w:rPr>
        <w:t>万元，201</w:t>
      </w:r>
      <w:r>
        <w:rPr>
          <w:rFonts w:hint="eastAsia" w:ascii="仿宋_GB2312" w:hAnsi="仿宋_GB2312" w:eastAsia="仿宋_GB2312" w:cs="仿宋_GB2312"/>
          <w:color w:val="333333"/>
          <w:sz w:val="32"/>
          <w:szCs w:val="32"/>
          <w:shd w:val="clear" w:color="auto" w:fill="FFFFFF"/>
          <w:lang w:val="en-US" w:eastAsia="zh-CN"/>
        </w:rPr>
        <w:t>8</w:t>
      </w:r>
      <w:r>
        <w:rPr>
          <w:rFonts w:hint="eastAsia" w:ascii="仿宋_GB2312" w:hAnsi="仿宋_GB2312" w:eastAsia="仿宋_GB2312" w:cs="仿宋_GB2312"/>
          <w:color w:val="333333"/>
          <w:sz w:val="32"/>
          <w:szCs w:val="32"/>
          <w:shd w:val="clear" w:color="auto" w:fill="FFFFFF"/>
        </w:rPr>
        <w:t>年中职学校质量提升工程拨款</w:t>
      </w:r>
      <w:r>
        <w:rPr>
          <w:rFonts w:hint="eastAsia" w:ascii="仿宋_GB2312" w:hAnsi="仿宋_GB2312" w:eastAsia="仿宋_GB2312" w:cs="仿宋_GB2312"/>
          <w:color w:val="333333"/>
          <w:sz w:val="32"/>
          <w:szCs w:val="32"/>
          <w:shd w:val="clear" w:color="auto" w:fill="FFFFFF"/>
          <w:lang w:val="en-US" w:eastAsia="zh-CN"/>
        </w:rPr>
        <w:t>225</w:t>
      </w:r>
      <w:r>
        <w:rPr>
          <w:rFonts w:hint="eastAsia" w:ascii="仿宋_GB2312" w:hAnsi="仿宋_GB2312" w:eastAsia="仿宋_GB2312" w:cs="仿宋_GB2312"/>
          <w:color w:val="333333"/>
          <w:sz w:val="32"/>
          <w:szCs w:val="32"/>
          <w:shd w:val="clear" w:color="auto" w:fill="FFFFFF"/>
        </w:rPr>
        <w:t>万元，同比增加</w:t>
      </w:r>
      <w:r>
        <w:rPr>
          <w:rFonts w:hint="eastAsia" w:ascii="仿宋_GB2312" w:hAnsi="仿宋_GB2312" w:eastAsia="仿宋_GB2312" w:cs="仿宋_GB2312"/>
          <w:color w:val="333333"/>
          <w:sz w:val="32"/>
          <w:szCs w:val="32"/>
          <w:shd w:val="clear" w:color="auto" w:fill="FFFFFF"/>
          <w:lang w:val="en-US" w:eastAsia="zh-CN"/>
        </w:rPr>
        <w:t>3.4</w:t>
      </w:r>
      <w:r>
        <w:rPr>
          <w:rFonts w:hint="eastAsia" w:ascii="仿宋_GB2312" w:hAnsi="仿宋_GB2312" w:eastAsia="仿宋_GB2312" w:cs="仿宋_GB2312"/>
          <w:color w:val="333333"/>
          <w:sz w:val="32"/>
          <w:szCs w:val="32"/>
          <w:shd w:val="clear" w:color="auto" w:fill="FFFFFF"/>
        </w:rPr>
        <w:t>%。</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6.2政策措施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宽城满族自治县政府高度重视职业教育发展，将职业教育纳入全县经济社会发展规划，纳入政府年度重点工作项目。成立由政府县长任组长的职业教育工作领导小组，建立职业教育工作联席会议制度，并多次召开政府常务会和专题协调会，及时协调解决职业教育经费筹集、基础建设等问题。在学校现有编制基础上，政府给予学校专设人才聘用“绿色通道”，在人员编制、教师配备等方面给予适度灵活宽松政策，落实“控编运行”政策机制，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年按控编运行政策招聘教师</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名，录用研究生学历教师</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人，并拨付专项经费，保障学校聘用急需专业教师。形成了“政府主导、行业指导，部门参与、齐抓共管”的良好工作格局。</w:t>
      </w:r>
    </w:p>
    <w:p>
      <w:pPr>
        <w:rPr>
          <w:rFonts w:ascii="黑体" w:hAnsi="黑体" w:eastAsia="黑体" w:cs="黑体"/>
          <w:color w:val="333333"/>
          <w:sz w:val="32"/>
          <w:szCs w:val="32"/>
          <w:shd w:val="clear" w:color="auto" w:fill="FFFFFF"/>
        </w:rPr>
      </w:pPr>
      <w:r>
        <w:rPr>
          <w:rFonts w:hint="eastAsia" w:ascii="黑体" w:hAnsi="黑体" w:eastAsia="黑体" w:cs="黑体"/>
          <w:color w:val="333333"/>
          <w:sz w:val="32"/>
          <w:szCs w:val="32"/>
          <w:shd w:val="clear" w:color="auto" w:fill="FFFFFF"/>
        </w:rPr>
        <w:t>7.特色创新</w:t>
      </w:r>
    </w:p>
    <w:p>
      <w:pPr>
        <w:jc w:val="left"/>
        <w:rPr>
          <w:rFonts w:ascii="仿宋_GB2312" w:hAnsi="仿宋_GB2312" w:eastAsia="仿宋_GB2312" w:cs="仿宋_GB2312"/>
          <w:b/>
          <w:bCs/>
          <w:color w:val="333333"/>
          <w:sz w:val="32"/>
          <w:szCs w:val="32"/>
          <w:shd w:val="clear" w:color="auto" w:fill="FFFFFF"/>
        </w:rPr>
      </w:pPr>
      <w:r>
        <w:rPr>
          <w:rFonts w:hint="eastAsia" w:ascii="仿宋_GB2312" w:hAnsi="仿宋_GB2312" w:eastAsia="仿宋_GB2312" w:cs="仿宋_GB2312"/>
          <w:b/>
          <w:bCs/>
          <w:color w:val="333333"/>
          <w:sz w:val="32"/>
          <w:szCs w:val="32"/>
          <w:shd w:val="clear" w:color="auto" w:fill="FFFFFF"/>
        </w:rPr>
        <w:t>特色案例一：</w:t>
      </w:r>
    </w:p>
    <w:p>
      <w:pPr>
        <w:spacing w:line="500" w:lineRule="exact"/>
        <w:jc w:val="center"/>
        <w:rPr>
          <w:rFonts w:hint="eastAsia"/>
          <w:b/>
          <w:bCs/>
          <w:sz w:val="44"/>
          <w:szCs w:val="44"/>
          <w:lang w:val="en-US" w:eastAsia="zh-CN"/>
        </w:rPr>
      </w:pPr>
      <w:r>
        <w:rPr>
          <w:rFonts w:hint="eastAsia"/>
          <w:b/>
          <w:bCs/>
          <w:sz w:val="44"/>
          <w:szCs w:val="44"/>
          <w:lang w:val="en-US" w:eastAsia="zh-CN"/>
        </w:rPr>
        <w:t>活动育人 创新中职学校育人新思维</w:t>
      </w:r>
    </w:p>
    <w:p>
      <w:pPr>
        <w:spacing w:line="500" w:lineRule="exact"/>
        <w:jc w:val="center"/>
        <w:rPr>
          <w:rFonts w:hint="eastAsia"/>
          <w:b/>
          <w:bCs/>
          <w:sz w:val="15"/>
          <w:szCs w:val="15"/>
          <w:lang w:val="en-US" w:eastAsia="zh-CN"/>
        </w:rPr>
      </w:pP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传统教育“高、大、空”的理论说教和简单粗暴地德育教育方式方法，已严重阻碍了学生心理健康成长和核心品格的塑造，成为中职学生个性发展的桎梏。为了实现了职业教育“立德树人”的根本目的，我们不断寻求新形势下学校德育工作的新方法、新模式以及新渠道。我校以学生“成人”为出发点，开展了一系列有针对的德育教育活动，以活动为载体，以教育为目的，收到了较好的效果。现具体做法如下。</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学校</w:t>
      </w:r>
      <w:r>
        <w:rPr>
          <w:rFonts w:hint="eastAsia" w:ascii="仿宋_GB2312" w:hAnsi="仿宋_GB2312" w:eastAsia="仿宋_GB2312" w:cs="仿宋_GB2312"/>
          <w:sz w:val="32"/>
          <w:szCs w:val="32"/>
        </w:rPr>
        <w:t>坚持“日行一善、周明一理、月养一习”的道德长跑活动为主线，道德长跑系列活动以《中学生守则》、《中等职业学校学生日常行为规范》，《宽城职教中心师生24种习惯养成》为基本内容，深入开展</w:t>
      </w:r>
      <w:r>
        <w:rPr>
          <w:rFonts w:hint="eastAsia" w:ascii="仿宋_GB2312" w:hAnsi="仿宋_GB2312" w:eastAsia="仿宋_GB2312" w:cs="仿宋_GB2312"/>
          <w:sz w:val="32"/>
          <w:szCs w:val="32"/>
          <w:lang w:val="en-US" w:eastAsia="zh-CN"/>
        </w:rPr>
        <w:t>各类德育教育活动</w:t>
      </w:r>
      <w:r>
        <w:rPr>
          <w:rFonts w:hint="eastAsia" w:ascii="仿宋_GB2312" w:hAnsi="仿宋_GB2312" w:eastAsia="仿宋_GB2312" w:cs="仿宋_GB2312"/>
          <w:sz w:val="32"/>
          <w:szCs w:val="32"/>
        </w:rPr>
        <w:t>，正确引导学生的道德行为，培养学生的道德情操，提高学生的道德认识。</w:t>
      </w:r>
    </w:p>
    <w:p>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firstLine="643"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宋体" w:eastAsia="仿宋_GB2312" w:cs="Lucida Sans Unicode"/>
          <w:b/>
          <w:bCs/>
          <w:sz w:val="32"/>
          <w:szCs w:val="32"/>
          <w:lang w:val="en-US" w:eastAsia="zh-CN"/>
        </w:rPr>
        <w:t>一</w:t>
      </w:r>
      <w:r>
        <w:rPr>
          <w:rFonts w:hint="eastAsia" w:ascii="仿宋_GB2312" w:hAnsi="宋体" w:eastAsia="仿宋_GB2312" w:cs="Lucida Sans Unicode"/>
          <w:b/>
          <w:bCs/>
          <w:sz w:val="32"/>
          <w:szCs w:val="32"/>
        </w:rPr>
        <w:t>、</w:t>
      </w:r>
      <w:r>
        <w:rPr>
          <w:rFonts w:hint="eastAsia" w:ascii="仿宋_GB2312" w:eastAsia="仿宋_GB2312" w:cs="Lucida Sans Unicode"/>
          <w:b/>
          <w:bCs/>
          <w:sz w:val="32"/>
          <w:szCs w:val="32"/>
        </w:rPr>
        <w:t>开展学生</w:t>
      </w:r>
      <w:r>
        <w:rPr>
          <w:rFonts w:hint="eastAsia" w:ascii="仿宋_GB2312" w:eastAsia="仿宋_GB2312" w:cs="Lucida Sans Unicode"/>
          <w:b/>
          <w:bCs/>
          <w:sz w:val="32"/>
          <w:szCs w:val="32"/>
          <w:lang w:val="en-US" w:eastAsia="zh-CN"/>
        </w:rPr>
        <w:t>入学</w:t>
      </w:r>
      <w:r>
        <w:rPr>
          <w:rFonts w:hint="eastAsia" w:ascii="仿宋_GB2312" w:eastAsia="仿宋_GB2312" w:cs="Lucida Sans Unicode"/>
          <w:b/>
          <w:bCs/>
          <w:sz w:val="32"/>
          <w:szCs w:val="32"/>
        </w:rPr>
        <w:t>教育活动。</w:t>
      </w:r>
      <w:r>
        <w:rPr>
          <w:rFonts w:hint="eastAsia" w:ascii="仿宋_GB2312" w:hAnsi="仿宋_GB2312" w:eastAsia="仿宋_GB2312" w:cs="仿宋_GB2312"/>
          <w:kern w:val="2"/>
          <w:sz w:val="32"/>
          <w:szCs w:val="32"/>
          <w:lang w:val="en-US" w:eastAsia="zh-CN" w:bidi="ar-SA"/>
        </w:rPr>
        <w:t>每年9月组织了新生军训及入学教育。通过军训，进行军事课目训练同时，实施了制度、法律、卫生、礼仪、文明习惯教育，培养学生的综合素质，抓住入学起步教育的关键不松手，引导和教育学生学会自律，逐步养成主动学习，从严自律的良好习惯，为学生后期良好的可持续发展奠定坚实的基础。</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_GB2312" w:eastAsia="仿宋_GB2312"/>
          <w:sz w:val="32"/>
          <w:szCs w:val="32"/>
        </w:rPr>
      </w:pPr>
      <w:r>
        <w:rPr>
          <w:rFonts w:hint="eastAsia" w:ascii="仿宋_GB2312" w:hAnsi="宋体" w:eastAsia="仿宋_GB2312" w:cs="Lucida Sans Unicode"/>
          <w:b/>
          <w:bCs/>
          <w:sz w:val="32"/>
          <w:szCs w:val="32"/>
          <w:lang w:val="en-US" w:eastAsia="zh-CN"/>
        </w:rPr>
        <w:t>二、开展</w:t>
      </w:r>
      <w:r>
        <w:rPr>
          <w:rFonts w:hint="eastAsia" w:ascii="仿宋_GB2312" w:hAnsi="宋体" w:eastAsia="仿宋_GB2312" w:cs="Lucida Sans Unicode"/>
          <w:b/>
          <w:bCs/>
          <w:sz w:val="32"/>
          <w:szCs w:val="32"/>
        </w:rPr>
        <w:t>学生爱国主义教育</w:t>
      </w:r>
      <w:r>
        <w:rPr>
          <w:rFonts w:hint="eastAsia" w:ascii="仿宋_GB2312" w:hAnsi="宋体" w:eastAsia="仿宋_GB2312" w:cs="Lucida Sans Unicode"/>
          <w:b/>
          <w:bCs/>
          <w:sz w:val="32"/>
          <w:szCs w:val="32"/>
          <w:lang w:val="en-US" w:eastAsia="zh-CN"/>
        </w:rPr>
        <w:t>活动</w:t>
      </w:r>
      <w:r>
        <w:rPr>
          <w:rFonts w:hint="eastAsia" w:ascii="仿宋_GB2312" w:hAnsi="宋体" w:eastAsia="仿宋_GB2312" w:cs="Lucida Sans Unicode"/>
          <w:b/>
          <w:bCs/>
          <w:sz w:val="32"/>
          <w:szCs w:val="32"/>
        </w:rPr>
        <w:t>。</w:t>
      </w:r>
      <w:r>
        <w:rPr>
          <w:rFonts w:hint="eastAsia" w:ascii="仿宋_GB2312" w:hAnsi="宋体" w:eastAsia="仿宋_GB2312" w:cs="Lucida Sans Unicode"/>
          <w:sz w:val="32"/>
          <w:szCs w:val="32"/>
        </w:rPr>
        <w:t>制定了升国旗仪式规范要求，</w:t>
      </w:r>
      <w:r>
        <w:rPr>
          <w:rFonts w:hint="eastAsia" w:ascii="仿宋_GB2312" w:hAnsi="宋体" w:eastAsia="仿宋_GB2312" w:cs="Lucida Sans Unicode"/>
          <w:sz w:val="32"/>
          <w:szCs w:val="32"/>
          <w:lang w:val="en-US" w:eastAsia="zh-CN"/>
        </w:rPr>
        <w:t>明确</w:t>
      </w:r>
      <w:r>
        <w:rPr>
          <w:rFonts w:hint="eastAsia" w:ascii="仿宋_GB2312" w:hAnsi="宋体" w:eastAsia="仿宋_GB2312" w:cs="Lucida Sans Unicode"/>
          <w:sz w:val="32"/>
          <w:szCs w:val="32"/>
        </w:rPr>
        <w:t>国旗下演讲的主题，每周一升旗仪式,选拔优秀学生在仪式上发表讲话,内容主要有:向全体师生介绍中国灿烂的文化、爱国志士的英雄事迹、时事新闻、社会热点、校园话题等。升旗仪式加强了广大学生的爱国主义情感,促使学生们认真学习专业理论和专业技能,树立报效祖国的理想，形成正确的世界观、人生观和价值观。重要节点，如7、7纪念日、国际禁烟日等学生处、综治办老师进行演讲教育</w:t>
      </w:r>
      <w:r>
        <w:rPr>
          <w:rFonts w:hint="eastAsia" w:ascii="仿宋_GB2312" w:hAnsi="宋体" w:eastAsia="仿宋_GB2312" w:cs="Lucida Sans Unicode"/>
          <w:sz w:val="32"/>
          <w:szCs w:val="32"/>
          <w:lang w:eastAsia="zh-CN"/>
        </w:rPr>
        <w:t>；</w:t>
      </w:r>
      <w:r>
        <w:rPr>
          <w:rFonts w:hint="eastAsia" w:ascii="仿宋_GB2312" w:hAnsi="宋体" w:eastAsia="仿宋_GB2312" w:cs="Lucida Sans Unicode"/>
          <w:sz w:val="32"/>
          <w:szCs w:val="32"/>
        </w:rPr>
        <w:t>4月5日</w:t>
      </w:r>
      <w:r>
        <w:rPr>
          <w:rFonts w:hint="eastAsia" w:ascii="仿宋_GB2312" w:eastAsia="仿宋_GB2312"/>
          <w:sz w:val="32"/>
          <w:szCs w:val="32"/>
        </w:rPr>
        <w:t>开展“节约用水、珍爱生命”主题教育活动；6月20日开展爱国主义教育图片巡展活动；9月18日开展了纪念“9.18”爱国教育活动；12月13日开展了 “国家公祭日”爱国教育活动。</w:t>
      </w:r>
    </w:p>
    <w:p>
      <w:pPr>
        <w:keepNext w:val="0"/>
        <w:keepLines w:val="0"/>
        <w:pageBreakBefore w:val="0"/>
        <w:widowControl w:val="0"/>
        <w:kinsoku/>
        <w:wordWrap/>
        <w:overflowPunct/>
        <w:topLinePunct w:val="0"/>
        <w:autoSpaceDE/>
        <w:autoSpaceDN/>
        <w:bidi w:val="0"/>
        <w:adjustRightInd/>
        <w:snapToGrid/>
        <w:spacing w:line="240" w:lineRule="auto"/>
        <w:ind w:firstLine="437"/>
        <w:textAlignment w:val="auto"/>
        <w:rPr>
          <w:rFonts w:hint="eastAsia" w:ascii="仿宋_GB2312" w:hAnsi="宋体" w:eastAsia="仿宋_GB2312" w:cs="Lucida Sans Unicode"/>
          <w:sz w:val="32"/>
          <w:szCs w:val="32"/>
        </w:rPr>
      </w:pPr>
      <w:r>
        <w:rPr>
          <w:rFonts w:hint="eastAsia" w:ascii="仿宋_GB2312" w:hAnsi="宋体" w:eastAsia="仿宋_GB2312" w:cs="Lucida Sans Unicode"/>
          <w:b/>
          <w:bCs/>
          <w:sz w:val="32"/>
          <w:szCs w:val="32"/>
          <w:lang w:val="en-US" w:eastAsia="zh-CN"/>
        </w:rPr>
        <w:t>三、开展大课间活动竞赛</w:t>
      </w:r>
      <w:r>
        <w:rPr>
          <w:rFonts w:hint="eastAsia" w:ascii="仿宋_GB2312" w:hAnsi="宋体" w:eastAsia="仿宋_GB2312" w:cs="Lucida Sans Unicode"/>
          <w:b/>
          <w:bCs/>
          <w:sz w:val="32"/>
          <w:szCs w:val="32"/>
        </w:rPr>
        <w:t>。</w:t>
      </w:r>
      <w:r>
        <w:rPr>
          <w:rFonts w:hint="eastAsia" w:ascii="仿宋_GB2312" w:hAnsi="宋体" w:eastAsia="仿宋_GB2312" w:cs="Lucida Sans Unicode"/>
          <w:sz w:val="32"/>
          <w:szCs w:val="32"/>
        </w:rPr>
        <w:t>制定了大课间管理考核制度，评分评比细则</w:t>
      </w:r>
      <w:r>
        <w:rPr>
          <w:rFonts w:hint="eastAsia" w:ascii="仿宋_GB2312" w:hAnsi="宋体" w:eastAsia="仿宋_GB2312" w:cs="Lucida Sans Unicode"/>
          <w:sz w:val="32"/>
          <w:szCs w:val="32"/>
          <w:lang w:eastAsia="zh-CN"/>
        </w:rPr>
        <w:t>，</w:t>
      </w:r>
      <w:r>
        <w:rPr>
          <w:rFonts w:hint="eastAsia" w:ascii="仿宋_GB2312" w:hAnsi="宋体" w:eastAsia="仿宋_GB2312" w:cs="Lucida Sans Unicode"/>
          <w:sz w:val="32"/>
          <w:szCs w:val="32"/>
          <w:lang w:val="en-US" w:eastAsia="zh-CN"/>
        </w:rPr>
        <w:t>每年</w:t>
      </w:r>
      <w:r>
        <w:rPr>
          <w:rFonts w:hint="eastAsia" w:ascii="仿宋_GB2312" w:hAnsi="宋体" w:eastAsia="仿宋_GB2312" w:cs="Lucida Sans Unicode"/>
          <w:sz w:val="32"/>
          <w:szCs w:val="32"/>
        </w:rPr>
        <w:t>5月份组织开展大课间比赛</w:t>
      </w:r>
      <w:r>
        <w:rPr>
          <w:rFonts w:hint="eastAsia" w:ascii="仿宋_GB2312" w:hAnsi="宋体" w:eastAsia="仿宋_GB2312" w:cs="Lucida Sans Unicode"/>
          <w:sz w:val="32"/>
          <w:szCs w:val="32"/>
          <w:lang w:val="en-US" w:eastAsia="zh-CN"/>
        </w:rPr>
        <w:t>活动</w:t>
      </w:r>
      <w:r>
        <w:rPr>
          <w:rFonts w:hint="eastAsia" w:ascii="仿宋_GB2312" w:hAnsi="宋体" w:eastAsia="仿宋_GB2312" w:cs="Lucida Sans Unicode"/>
          <w:sz w:val="32"/>
          <w:szCs w:val="32"/>
        </w:rPr>
        <w:t>，增强了学生的集体荣誉感，自信心明显提升，出操质量有明显改善，大课间已成我校管理工作的品牌和亮点。学生步调一致的习惯明显提高。</w:t>
      </w:r>
    </w:p>
    <w:p>
      <w:pPr>
        <w:spacing w:line="500" w:lineRule="exact"/>
        <w:ind w:firstLine="643" w:firstLineChars="200"/>
        <w:rPr>
          <w:rFonts w:hint="eastAsia" w:ascii="仿宋_GB2312" w:hAnsi="宋体" w:eastAsia="仿宋_GB2312" w:cs="Lucida Sans Unicode"/>
          <w:b/>
          <w:bCs/>
          <w:sz w:val="32"/>
          <w:szCs w:val="32"/>
        </w:rPr>
      </w:pPr>
      <w:r>
        <w:rPr>
          <w:rFonts w:hint="eastAsia" w:ascii="仿宋_GB2312" w:hAnsi="宋体" w:eastAsia="仿宋_GB2312" w:cs="Lucida Sans Unicode"/>
          <w:b/>
          <w:bCs/>
          <w:sz w:val="32"/>
          <w:szCs w:val="32"/>
          <w:lang w:val="en-US" w:eastAsia="zh-CN"/>
        </w:rPr>
        <w:t>四、</w:t>
      </w:r>
      <w:r>
        <w:rPr>
          <w:rFonts w:hint="eastAsia" w:ascii="仿宋_GB2312" w:hAnsi="宋体" w:eastAsia="仿宋_GB2312" w:cs="Lucida Sans Unicode"/>
          <w:b/>
          <w:bCs/>
          <w:sz w:val="32"/>
          <w:szCs w:val="32"/>
        </w:rPr>
        <w:t>开展系列感恩、明礼守信教育活动。</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eastAsia="仿宋_GB2312"/>
          <w:sz w:val="32"/>
          <w:szCs w:val="32"/>
        </w:rPr>
      </w:pPr>
      <w:r>
        <w:rPr>
          <w:rFonts w:hint="eastAsia" w:ascii="仿宋_GB2312" w:hAnsi="宋体" w:eastAsia="仿宋_GB2312" w:cs="Lucida Sans Unicode"/>
          <w:sz w:val="32"/>
          <w:szCs w:val="32"/>
          <w:lang w:val="en-US" w:eastAsia="zh-CN"/>
        </w:rPr>
        <w:t>1.</w:t>
      </w:r>
      <w:r>
        <w:rPr>
          <w:rFonts w:hint="eastAsia" w:ascii="仿宋_GB2312" w:hAnsi="宋体" w:eastAsia="仿宋_GB2312" w:cs="Lucida Sans Unicode"/>
          <w:sz w:val="32"/>
          <w:szCs w:val="32"/>
        </w:rPr>
        <w:t>每月突出教育主题。例如：</w:t>
      </w:r>
      <w:r>
        <w:rPr>
          <w:rFonts w:hint="eastAsia" w:ascii="仿宋_GB2312" w:eastAsia="仿宋_GB2312"/>
          <w:sz w:val="32"/>
          <w:szCs w:val="32"/>
        </w:rPr>
        <w:t>仪表行动</w:t>
      </w:r>
      <w:r>
        <w:rPr>
          <w:rFonts w:hint="eastAsia" w:ascii="仿宋_GB2312" w:eastAsia="仿宋_GB2312"/>
          <w:sz w:val="32"/>
          <w:szCs w:val="32"/>
          <w:lang w:eastAsia="zh-CN"/>
        </w:rPr>
        <w:t>（</w:t>
      </w:r>
      <w:r>
        <w:rPr>
          <w:rFonts w:hint="eastAsia" w:ascii="仿宋_GB2312" w:eastAsia="仿宋_GB2312"/>
          <w:sz w:val="32"/>
          <w:szCs w:val="32"/>
        </w:rPr>
        <w:t>口号：“穿职教校服，做骄傲的职教人”</w:t>
      </w:r>
      <w:r>
        <w:rPr>
          <w:rFonts w:hint="eastAsia" w:ascii="仿宋_GB2312" w:eastAsia="仿宋_GB2312"/>
          <w:sz w:val="32"/>
          <w:szCs w:val="32"/>
          <w:lang w:eastAsia="zh-CN"/>
        </w:rPr>
        <w:t>）</w:t>
      </w:r>
      <w:r>
        <w:rPr>
          <w:rFonts w:hint="eastAsia" w:ascii="仿宋_GB2312" w:eastAsia="仿宋_GB2312"/>
          <w:sz w:val="32"/>
          <w:szCs w:val="32"/>
        </w:rPr>
        <w:t>，文明语言行动</w:t>
      </w:r>
      <w:r>
        <w:rPr>
          <w:rFonts w:hint="eastAsia" w:ascii="仿宋_GB2312" w:eastAsia="仿宋_GB2312"/>
          <w:sz w:val="32"/>
          <w:szCs w:val="32"/>
          <w:lang w:eastAsia="zh-CN"/>
        </w:rPr>
        <w:t>（</w:t>
      </w:r>
      <w:r>
        <w:rPr>
          <w:rFonts w:hint="eastAsia" w:ascii="仿宋_GB2312" w:eastAsia="仿宋_GB2312"/>
          <w:sz w:val="32"/>
          <w:szCs w:val="32"/>
        </w:rPr>
        <w:t>口号：“学会尊重，从语言开始”</w:t>
      </w:r>
      <w:r>
        <w:rPr>
          <w:rFonts w:hint="eastAsia" w:ascii="仿宋_GB2312" w:eastAsia="仿宋_GB2312"/>
          <w:sz w:val="32"/>
          <w:szCs w:val="32"/>
          <w:lang w:eastAsia="zh-CN"/>
        </w:rPr>
        <w:t>）</w:t>
      </w:r>
      <w:r>
        <w:rPr>
          <w:rFonts w:hint="eastAsia" w:ascii="仿宋_GB2312" w:eastAsia="仿宋_GB2312"/>
          <w:sz w:val="32"/>
          <w:szCs w:val="32"/>
        </w:rPr>
        <w:t>，弯腰行动</w:t>
      </w:r>
      <w:r>
        <w:rPr>
          <w:rFonts w:hint="eastAsia" w:ascii="仿宋_GB2312" w:eastAsia="仿宋_GB2312"/>
          <w:sz w:val="32"/>
          <w:szCs w:val="32"/>
          <w:lang w:eastAsia="zh-CN"/>
        </w:rPr>
        <w:t>（</w:t>
      </w:r>
      <w:r>
        <w:rPr>
          <w:rFonts w:hint="eastAsia" w:ascii="仿宋_GB2312" w:eastAsia="仿宋_GB2312"/>
          <w:sz w:val="32"/>
          <w:szCs w:val="32"/>
        </w:rPr>
        <w:t>口号：“弯下的是身体，拾起的是文明”</w:t>
      </w:r>
      <w:r>
        <w:rPr>
          <w:rFonts w:hint="eastAsia" w:ascii="仿宋_GB2312" w:eastAsia="仿宋_GB2312"/>
          <w:sz w:val="32"/>
          <w:szCs w:val="32"/>
          <w:lang w:eastAsia="zh-CN"/>
        </w:rPr>
        <w:t>）</w:t>
      </w:r>
      <w:r>
        <w:rPr>
          <w:rFonts w:hint="eastAsia" w:ascii="仿宋_GB2312" w:eastAsia="仿宋_GB2312"/>
          <w:sz w:val="32"/>
          <w:szCs w:val="32"/>
        </w:rPr>
        <w:t>。环保行动</w:t>
      </w:r>
      <w:r>
        <w:rPr>
          <w:rFonts w:hint="eastAsia" w:ascii="仿宋_GB2312" w:eastAsia="仿宋_GB2312"/>
          <w:sz w:val="32"/>
          <w:szCs w:val="32"/>
          <w:lang w:eastAsia="zh-CN"/>
        </w:rPr>
        <w:t>（</w:t>
      </w:r>
      <w:r>
        <w:rPr>
          <w:rFonts w:hint="eastAsia" w:ascii="仿宋_GB2312" w:eastAsia="仿宋_GB2312"/>
          <w:sz w:val="32"/>
          <w:szCs w:val="32"/>
        </w:rPr>
        <w:t>口号：“从点滴做起，养成良好的卫生习惯”</w:t>
      </w:r>
      <w:r>
        <w:rPr>
          <w:rFonts w:hint="eastAsia" w:ascii="仿宋_GB2312" w:eastAsia="仿宋_GB2312"/>
          <w:sz w:val="32"/>
          <w:szCs w:val="32"/>
          <w:lang w:eastAsia="zh-CN"/>
        </w:rPr>
        <w:t>）</w:t>
      </w:r>
      <w:r>
        <w:rPr>
          <w:rFonts w:hint="eastAsia" w:ascii="仿宋_GB2312"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开展系列主题班会教育活动。如召开“强国梦、强军梦”主题班会；以母亲节、父亲节为契机开展看一看：观察父母的头发，多了还是少了，听一听：静下心来听听父母长辈的心声，做一做：心里想到父母的恩情，想一想：想想父母的白发是纯自然的还是自己给增添的，实施了两次感恩教育。“做一名有道德的职教学生”主题班会，学生禁烟主题班会，安全出行主题班会等；观看两部教育影片，召开了影评讨论会；召开怎样具体实施</w:t>
      </w:r>
      <w:r>
        <w:rPr>
          <w:rFonts w:hint="eastAsia" w:ascii="仿宋_GB2312" w:hAnsi="宋体" w:eastAsia="仿宋_GB2312" w:cs="Lucida Sans Unicode"/>
          <w:sz w:val="32"/>
          <w:szCs w:val="32"/>
        </w:rPr>
        <w:t>“日行一善、周明一理、月养一习”班会</w:t>
      </w:r>
      <w:r>
        <w:rPr>
          <w:rFonts w:hint="eastAsia" w:ascii="仿宋_GB2312" w:eastAsia="仿宋_GB2312"/>
          <w:sz w:val="32"/>
          <w:szCs w:val="32"/>
        </w:rPr>
        <w:t>。这些活动促进了学生良好习惯的形成。</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_GB2312" w:eastAsia="仿宋_GB2312"/>
          <w:b/>
          <w:bCs/>
          <w:sz w:val="32"/>
          <w:szCs w:val="32"/>
        </w:rPr>
      </w:pPr>
      <w:r>
        <w:rPr>
          <w:rFonts w:hint="eastAsia" w:ascii="仿宋_GB2312" w:eastAsia="仿宋_GB2312"/>
          <w:b/>
          <w:bCs/>
          <w:sz w:val="32"/>
          <w:szCs w:val="32"/>
          <w:lang w:val="en-US" w:eastAsia="zh-CN"/>
        </w:rPr>
        <w:t>五、</w:t>
      </w:r>
      <w:r>
        <w:rPr>
          <w:rFonts w:hint="eastAsia" w:ascii="仿宋_GB2312" w:eastAsia="仿宋_GB2312"/>
          <w:b/>
          <w:bCs/>
          <w:sz w:val="32"/>
          <w:szCs w:val="32"/>
        </w:rPr>
        <w:t>开展中华优秀传统文化诵读活动。</w:t>
      </w:r>
    </w:p>
    <w:p>
      <w:pPr>
        <w:keepNext w:val="0"/>
        <w:keepLines w:val="0"/>
        <w:pageBreakBefore w:val="0"/>
        <w:widowControl w:val="0"/>
        <w:kinsoku/>
        <w:wordWrap/>
        <w:overflowPunct/>
        <w:topLinePunct w:val="0"/>
        <w:autoSpaceDE/>
        <w:autoSpaceDN/>
        <w:bidi w:val="0"/>
        <w:adjustRightInd/>
        <w:snapToGrid/>
        <w:spacing w:line="240" w:lineRule="auto"/>
        <w:ind w:firstLine="480" w:firstLineChars="150"/>
        <w:textAlignment w:val="auto"/>
        <w:rPr>
          <w:rFonts w:hint="eastAsia" w:ascii="仿宋_GB2312" w:eastAsia="仿宋_GB2312"/>
          <w:sz w:val="32"/>
          <w:szCs w:val="32"/>
        </w:rPr>
      </w:pPr>
      <w:r>
        <w:rPr>
          <w:rFonts w:hint="eastAsia" w:ascii="仿宋_GB2312" w:eastAsia="仿宋_GB2312"/>
          <w:sz w:val="32"/>
          <w:szCs w:val="32"/>
        </w:rPr>
        <w:t>每天早自习，各班学生集体起立诵读10分钟经典文化内容，本项活动与道德长跑活动、践行社会主义核心价值观有机结合，陶冶了学生的情操，净化了学生的心灵。</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_GB2312" w:eastAsia="仿宋_GB2312"/>
          <w:sz w:val="32"/>
          <w:szCs w:val="32"/>
        </w:rPr>
      </w:pPr>
      <w:r>
        <w:rPr>
          <w:rFonts w:hint="eastAsia" w:ascii="仿宋_GB2312" w:hAnsi="宋体" w:eastAsia="仿宋_GB2312" w:cs="Lucida Sans Unicode"/>
          <w:b/>
          <w:bCs/>
          <w:sz w:val="32"/>
          <w:szCs w:val="32"/>
          <w:lang w:val="en-US" w:eastAsia="zh-CN"/>
        </w:rPr>
        <w:t>六、</w:t>
      </w:r>
      <w:r>
        <w:rPr>
          <w:rFonts w:hint="eastAsia" w:ascii="仿宋_GB2312" w:hAnsi="宋体" w:eastAsia="仿宋_GB2312" w:cs="Lucida Sans Unicode"/>
          <w:b/>
          <w:bCs/>
          <w:sz w:val="32"/>
          <w:szCs w:val="32"/>
        </w:rPr>
        <w:t>开展“养正”教育活动</w:t>
      </w:r>
      <w:r>
        <w:rPr>
          <w:rFonts w:hint="eastAsia" w:ascii="仿宋_GB2312" w:hAnsi="宋体" w:eastAsia="仿宋_GB2312" w:cs="Lucida Sans Unicode"/>
          <w:b/>
          <w:bCs/>
          <w:sz w:val="32"/>
          <w:szCs w:val="32"/>
          <w:lang w:eastAsia="zh-CN"/>
        </w:rPr>
        <w:t>。</w:t>
      </w:r>
      <w:r>
        <w:rPr>
          <w:rFonts w:hint="eastAsia" w:ascii="仿宋_GB2312" w:hAnsi="宋体" w:eastAsia="仿宋_GB2312" w:cs="Lucida Sans Unicode"/>
          <w:sz w:val="32"/>
          <w:szCs w:val="32"/>
        </w:rPr>
        <w:t>设立养正教育长廊，对问题学生的坏习惯“超强纠错”。</w:t>
      </w:r>
      <w:r>
        <w:rPr>
          <w:rFonts w:hint="eastAsia" w:ascii="仿宋_GB2312" w:eastAsia="仿宋_GB2312"/>
          <w:sz w:val="32"/>
          <w:szCs w:val="32"/>
        </w:rPr>
        <w:t>教育流程为：思想教育、制度学习、养成教育、思想汇报、劳动教育、感恩教育、给父母写一封感恩信、制度考试、结业寄语。加强了对“问题学生”的教育，培育他们树立正气，注入了正能量。一年来，共开办《吸烟有害健康》科普知识培训等6期，养正培训学生近200人，学生中的坏毛病、坏习惯得到了很大的纠正。</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宋体" w:eastAsia="仿宋_GB2312" w:cs="Lucida Sans Unicode"/>
          <w:b/>
          <w:bCs/>
          <w:sz w:val="32"/>
          <w:szCs w:val="32"/>
          <w:lang w:val="en-US" w:eastAsia="zh-CN"/>
        </w:rPr>
        <w:t>七、开展系列专题教育讲座</w:t>
      </w:r>
      <w:r>
        <w:rPr>
          <w:rFonts w:hint="eastAsia" w:ascii="仿宋_GB2312" w:hAnsi="宋体" w:eastAsia="仿宋_GB2312" w:cs="Lucida Sans Unicode"/>
          <w:b/>
          <w:bCs/>
          <w:sz w:val="32"/>
          <w:szCs w:val="32"/>
        </w:rPr>
        <w:t>。</w:t>
      </w:r>
      <w:r>
        <w:rPr>
          <w:rFonts w:hint="eastAsia" w:ascii="仿宋_GB2312" w:hAnsi="仿宋_GB2312" w:eastAsia="仿宋_GB2312" w:cs="仿宋_GB2312"/>
          <w:sz w:val="32"/>
          <w:szCs w:val="32"/>
          <w:lang w:val="en-US" w:eastAsia="zh-CN"/>
        </w:rPr>
        <w:t>为贯彻落实"以人为本,安全第一,预防为主"的方针,创建平安校园,有效防止学校安全事故的发生, ,开展了安全法制教育主题月，“预防青少年犯罪”法律教育会；5月26日邀请县检察院领导进行了法制教育专题讲座；邀请县疾控中心主任张世阁进行了艾滋病专项宣教活动；6月26日禁毒日邀请县公安局进行专项宣教活动。11月30日举办了18级女生卫生健康教育活动。全年开展纪律教育会12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lang w:val="en-US" w:eastAsia="zh-CN"/>
        </w:rPr>
      </w:pPr>
      <w:r>
        <w:rPr>
          <w:rFonts w:hint="eastAsia" w:ascii="仿宋_GB2312" w:hAnsi="仿宋_GB2312" w:eastAsia="仿宋_GB2312" w:cs="仿宋_GB2312"/>
          <w:sz w:val="32"/>
          <w:szCs w:val="32"/>
          <w:lang w:val="en-US" w:eastAsia="zh-CN"/>
        </w:rPr>
        <w:t>通过一系列的德育教育活动，既强身健体，又陶治情操，真正的实现在活动中怡情，在活动中健体，在活动中成长。同时，各类德育教育活动的开展，对学生的文明素养、良好习惯的养成实现了质的飞跃，学校育人环境进一步优化，形成了安全、和谐的育人氛围。2018年，学校被河北省职业教育学会、德育教育与职业指导委员会联合授予“河北省中等职业学校德育工作先进集体”荣誉称号。</w:t>
      </w:r>
    </w:p>
    <w:p>
      <w:pP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b/>
          <w:bCs/>
          <w:color w:val="333333"/>
          <w:sz w:val="32"/>
          <w:szCs w:val="32"/>
          <w:shd w:val="clear" w:color="auto" w:fill="FFFFFF"/>
        </w:rPr>
        <w:t>特色案例二</w:t>
      </w:r>
      <w:r>
        <w:rPr>
          <w:rFonts w:hint="eastAsia" w:ascii="仿宋_GB2312" w:hAnsi="仿宋_GB2312" w:eastAsia="仿宋_GB2312" w:cs="仿宋_GB2312"/>
          <w:color w:val="333333"/>
          <w:sz w:val="32"/>
          <w:szCs w:val="32"/>
          <w:shd w:val="clear" w:color="auto" w:fill="FFFFFF"/>
        </w:rPr>
        <w:t>：</w:t>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“以赛促教  以赛促学”开启职业教育新模式</w:t>
      </w:r>
    </w:p>
    <w:p>
      <w:pPr>
        <w:jc w:val="both"/>
        <w:rPr>
          <w:rFonts w:hint="eastAsia" w:ascii="宋体" w:hAnsi="宋体" w:eastAsia="宋体" w:cs="宋体"/>
          <w:b/>
          <w:bCs/>
          <w:sz w:val="15"/>
          <w:szCs w:val="15"/>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作为一所普通中等职业学校来说，出路在哪里？这是很多中职教育领导者必须认真思考的问题。一个学校的发展与学生的发展是密不可分的，好的学生素质，优秀的技能水平，不仅是学校生存立命的根本，也是学生终身发展的基础。近年来，学校积极探索提高学生学识和技能水平的有效途径，经过大量的考察调研和具体实践，形成具有我校特色的“以赛促教，以赛促学”新模式，收到了良好的效果。现将具体做法总结如下：</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一、围绕技能大赛，开展专业课程设置</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技能大赛，是学生和教师在专业技能上的大比武，比的是技术和综合素养，也是理论与实践相结合的产物。学校着眼于各级教育部门设置的技能大赛项目，根据项目设置专业，实现技能大赛与专业课程建设良性对接。2016年，学校设立了电子商务专业，就是针对国家开展电子商务技能大赛设立的，并进行了一系列的专业技术培养。2017年，我校组成的电商代表队在厦门“优优汇联杯”比赛中，获得二等奖，收到了可喜效果。2018年，电子商务专业招生异常火爆，学生质量明显提升。</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二、围绕技能大赛，开展教师技能培训</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以师生“能参加技能大赛”为基本目标，学习开展了三年教师培训计划，</w:t>
      </w:r>
      <w:r>
        <w:rPr>
          <w:rFonts w:hint="eastAsia" w:ascii="仿宋" w:hAnsi="仿宋" w:eastAsia="仿宋" w:cs="仿宋"/>
          <w:sz w:val="32"/>
          <w:szCs w:val="32"/>
        </w:rPr>
        <w:t>采取</w:t>
      </w:r>
      <w:r>
        <w:rPr>
          <w:rFonts w:hint="eastAsia" w:ascii="仿宋" w:hAnsi="仿宋" w:eastAsia="仿宋" w:cs="仿宋"/>
          <w:sz w:val="32"/>
          <w:szCs w:val="32"/>
          <w:lang w:val="en-US" w:eastAsia="zh-CN"/>
        </w:rPr>
        <w:t>了</w:t>
      </w:r>
      <w:r>
        <w:rPr>
          <w:rFonts w:hint="eastAsia" w:ascii="仿宋" w:hAnsi="仿宋" w:eastAsia="仿宋" w:cs="仿宋"/>
          <w:sz w:val="32"/>
          <w:szCs w:val="32"/>
        </w:rPr>
        <w:t>“内部培养，外出取经，引智到家”的教师培训模式，对</w:t>
      </w:r>
      <w:r>
        <w:rPr>
          <w:rFonts w:hint="eastAsia" w:ascii="仿宋" w:hAnsi="仿宋" w:eastAsia="仿宋" w:cs="仿宋"/>
          <w:sz w:val="32"/>
          <w:szCs w:val="32"/>
          <w:lang w:val="en-US" w:eastAsia="zh-CN"/>
        </w:rPr>
        <w:t>专业</w:t>
      </w:r>
      <w:r>
        <w:rPr>
          <w:rFonts w:hint="eastAsia" w:ascii="仿宋" w:hAnsi="仿宋" w:eastAsia="仿宋" w:cs="仿宋"/>
          <w:sz w:val="32"/>
          <w:szCs w:val="32"/>
        </w:rPr>
        <w:t>教师进行教学能力、</w:t>
      </w:r>
      <w:r>
        <w:rPr>
          <w:rFonts w:hint="eastAsia" w:ascii="仿宋" w:hAnsi="仿宋" w:eastAsia="仿宋" w:cs="仿宋"/>
          <w:sz w:val="32"/>
          <w:szCs w:val="32"/>
          <w:lang w:val="en-US" w:eastAsia="zh-CN"/>
        </w:rPr>
        <w:t>技能水平</w:t>
      </w:r>
      <w:r>
        <w:rPr>
          <w:rFonts w:hint="eastAsia" w:ascii="仿宋" w:hAnsi="仿宋" w:eastAsia="仿宋" w:cs="仿宋"/>
          <w:sz w:val="32"/>
          <w:szCs w:val="32"/>
        </w:rPr>
        <w:t>培训，进一步完善了人才引进机制，先后引进了13名专业对口的研究生团队</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学校十分重视“双师型”队伍，在不足170名专任教师队伍中，就有112人是“双师型”教师。学校每年都要派驻厂学习教师驻场学习，学习时间不少于3个月。学校每年参加国培、省培的专业教师不少于20人。学校还</w:t>
      </w:r>
      <w:r>
        <w:rPr>
          <w:rFonts w:hint="eastAsia" w:ascii="仿宋" w:hAnsi="仿宋" w:eastAsia="仿宋" w:cs="仿宋"/>
          <w:sz w:val="32"/>
          <w:szCs w:val="32"/>
        </w:rPr>
        <w:t>以骨干教师为重点，</w:t>
      </w:r>
      <w:r>
        <w:rPr>
          <w:rFonts w:hint="eastAsia" w:ascii="仿宋" w:hAnsi="仿宋" w:eastAsia="仿宋" w:cs="仿宋"/>
          <w:sz w:val="32"/>
          <w:szCs w:val="32"/>
          <w:lang w:val="en-US" w:eastAsia="zh-CN"/>
        </w:rPr>
        <w:t>实施</w:t>
      </w:r>
      <w:r>
        <w:rPr>
          <w:rFonts w:hint="eastAsia" w:ascii="仿宋" w:hAnsi="仿宋" w:eastAsia="仿宋" w:cs="仿宋"/>
          <w:sz w:val="32"/>
          <w:szCs w:val="32"/>
        </w:rPr>
        <w:t>名师工程，对教师技能与基本素质提出了明确的要求，使教师</w:t>
      </w:r>
      <w:r>
        <w:rPr>
          <w:rFonts w:hint="eastAsia" w:ascii="仿宋" w:hAnsi="仿宋" w:eastAsia="仿宋" w:cs="仿宋"/>
          <w:sz w:val="32"/>
          <w:szCs w:val="32"/>
          <w:lang w:val="en-US" w:eastAsia="zh-CN"/>
        </w:rPr>
        <w:t>既能传授知识，又能传授技能，实现一专多能</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三、围绕技能大赛，开展学生第二课堂</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利用每天七，八节课开展学生第二课堂活动，组建专业兴趣小组、专业专班。目前，学校建有专业兴趣小组13个，近300名学生参加专业技能拓展学习。学校对每个兴趣小组的教师都认真选拔，并配备了专用设备和实训场所，每周固定时间、固定地点开展活动。选拔优秀学员组建参加技能大赛团队，开展针对技能大赛专项训练。通过开展第二课堂活动，不仅提高了学生的学习兴趣，还反作用于学生对专业知识的自主学习，有效的促进课堂教学的有效开展。</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四、围绕技能大赛，推动产教融合发展</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学校</w:t>
      </w:r>
      <w:r>
        <w:rPr>
          <w:rFonts w:hint="eastAsia" w:ascii="仿宋" w:hAnsi="仿宋" w:eastAsia="仿宋" w:cs="仿宋"/>
          <w:sz w:val="32"/>
          <w:szCs w:val="32"/>
          <w:lang w:val="en-US" w:eastAsia="zh-CN"/>
        </w:rPr>
        <w:t>围绕技能大赛，开展有针对性的基地项目建设，2016年建成</w:t>
      </w:r>
      <w:r>
        <w:rPr>
          <w:rFonts w:hint="eastAsia" w:ascii="仿宋" w:hAnsi="仿宋" w:eastAsia="仿宋" w:cs="仿宋"/>
          <w:sz w:val="32"/>
          <w:szCs w:val="32"/>
        </w:rPr>
        <w:t>宽城创新创业基地</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以基地为平台</w:t>
      </w:r>
      <w:r>
        <w:rPr>
          <w:rFonts w:hint="eastAsia" w:ascii="仿宋" w:hAnsi="仿宋" w:eastAsia="仿宋" w:cs="仿宋"/>
          <w:sz w:val="32"/>
          <w:szCs w:val="32"/>
        </w:rPr>
        <w:t>为</w:t>
      </w:r>
      <w:r>
        <w:rPr>
          <w:rFonts w:hint="eastAsia" w:ascii="仿宋" w:hAnsi="仿宋" w:eastAsia="仿宋" w:cs="仿宋"/>
          <w:sz w:val="32"/>
          <w:szCs w:val="32"/>
          <w:lang w:eastAsia="zh-CN"/>
        </w:rPr>
        <w:t>，</w:t>
      </w:r>
      <w:r>
        <w:rPr>
          <w:rFonts w:hint="eastAsia" w:ascii="仿宋" w:hAnsi="仿宋" w:eastAsia="仿宋" w:cs="仿宋"/>
          <w:sz w:val="32"/>
          <w:szCs w:val="32"/>
        </w:rPr>
        <w:t>开展“</w:t>
      </w:r>
      <w:r>
        <w:rPr>
          <w:rFonts w:hint="eastAsia" w:ascii="仿宋" w:hAnsi="仿宋" w:eastAsia="仿宋" w:cs="仿宋"/>
          <w:sz w:val="32"/>
          <w:szCs w:val="32"/>
          <w:lang w:val="en-US" w:eastAsia="zh-CN"/>
        </w:rPr>
        <w:t>产教融合、</w:t>
      </w:r>
      <w:r>
        <w:rPr>
          <w:rFonts w:hint="eastAsia" w:ascii="仿宋" w:hAnsi="仿宋" w:eastAsia="仿宋" w:cs="仿宋"/>
          <w:sz w:val="32"/>
          <w:szCs w:val="32"/>
        </w:rPr>
        <w:t>工学结合”教育</w:t>
      </w:r>
      <w:r>
        <w:rPr>
          <w:rFonts w:hint="eastAsia" w:ascii="仿宋" w:hAnsi="仿宋" w:eastAsia="仿宋" w:cs="仿宋"/>
          <w:sz w:val="32"/>
          <w:szCs w:val="32"/>
          <w:lang w:val="en-US" w:eastAsia="zh-CN"/>
        </w:rPr>
        <w:t>新</w:t>
      </w:r>
      <w:r>
        <w:rPr>
          <w:rFonts w:hint="eastAsia" w:ascii="仿宋" w:hAnsi="仿宋" w:eastAsia="仿宋" w:cs="仿宋"/>
          <w:sz w:val="32"/>
          <w:szCs w:val="32"/>
        </w:rPr>
        <w:t>模式</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积极与县内中、小型企业合作办学</w:t>
      </w:r>
      <w:r>
        <w:rPr>
          <w:rFonts w:hint="eastAsia" w:ascii="仿宋" w:hAnsi="仿宋" w:eastAsia="仿宋" w:cs="仿宋"/>
          <w:sz w:val="32"/>
          <w:szCs w:val="32"/>
          <w:lang w:eastAsia="zh-CN"/>
        </w:rPr>
        <w:t>，</w:t>
      </w:r>
      <w:r>
        <w:rPr>
          <w:rFonts w:hint="eastAsia" w:ascii="仿宋" w:hAnsi="仿宋" w:eastAsia="仿宋" w:cs="仿宋"/>
          <w:sz w:val="32"/>
          <w:szCs w:val="32"/>
        </w:rPr>
        <w:t>实现了学生与企业直接对接，感受企业文化，锻炼技术技能。</w:t>
      </w:r>
      <w:r>
        <w:rPr>
          <w:rFonts w:hint="eastAsia" w:ascii="仿宋" w:hAnsi="仿宋" w:eastAsia="仿宋" w:cs="仿宋"/>
          <w:sz w:val="32"/>
          <w:szCs w:val="32"/>
          <w:lang w:val="en-US" w:eastAsia="zh-CN"/>
        </w:rPr>
        <w:t>目前，学校</w:t>
      </w:r>
      <w:r>
        <w:rPr>
          <w:rFonts w:hint="eastAsia" w:ascii="仿宋" w:hAnsi="仿宋" w:eastAsia="仿宋" w:cs="仿宋"/>
          <w:sz w:val="32"/>
          <w:szCs w:val="32"/>
        </w:rPr>
        <w:t>与宽城新世纪广告装饰工程有限公司、大槐树农村电商河北宽城电子商务有限公司、宽城步步高家电公司、承德宏达盛业商贸有限公司合作签约</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成为产教融合合作伙伴</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学校派学生到企业实习实训，企业派技术人员来校上课，实现了学校和企业间的良性互动，促进了学校产教融合的发展。</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普通教育有高考，职业教育有大赛。近年来，学校累计获得省级学生技能大赛团体一等奖4个，二等奖6个，三等奖11个；市级学生技能大赛团体一等奖5个，二等奖</w:t>
      </w:r>
      <w:r>
        <w:rPr>
          <w:rFonts w:hint="eastAsia" w:ascii="仿宋" w:hAnsi="仿宋" w:eastAsia="仿宋" w:cs="仿宋"/>
          <w:sz w:val="32"/>
          <w:szCs w:val="32"/>
          <w:lang w:val="en-US" w:eastAsia="zh-CN"/>
        </w:rPr>
        <w:t>6</w:t>
      </w:r>
      <w:r>
        <w:rPr>
          <w:rFonts w:hint="eastAsia" w:ascii="仿宋" w:hAnsi="仿宋" w:eastAsia="仿宋" w:cs="仿宋"/>
          <w:sz w:val="32"/>
          <w:szCs w:val="32"/>
        </w:rPr>
        <w:t>个，三等奖</w:t>
      </w:r>
      <w:r>
        <w:rPr>
          <w:rFonts w:hint="eastAsia" w:ascii="仿宋" w:hAnsi="仿宋" w:eastAsia="仿宋" w:cs="仿宋"/>
          <w:sz w:val="32"/>
          <w:szCs w:val="32"/>
          <w:lang w:val="en-US" w:eastAsia="zh-CN"/>
        </w:rPr>
        <w:t>4</w:t>
      </w:r>
      <w:r>
        <w:rPr>
          <w:rFonts w:hint="eastAsia" w:ascii="仿宋" w:hAnsi="仿宋" w:eastAsia="仿宋" w:cs="仿宋"/>
          <w:sz w:val="32"/>
          <w:szCs w:val="32"/>
        </w:rPr>
        <w:t>个，学校实现了由不敢参与到在省市级大赛中摘金夺银的重大转变。通过以赛促学，推动了理论基础与实践操作的有效结合，极大地促进了教学质量的提高，教学成绩连年攀升。近三年来，对口高考一次上本科线分别为2016年39人，2017年47人，2018年54人，始终名列全市前列。</w:t>
      </w:r>
    </w:p>
    <w:p>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color w:val="333333"/>
          <w:sz w:val="32"/>
          <w:szCs w:val="32"/>
          <w:shd w:val="clear" w:color="auto" w:fill="FFFFFF"/>
        </w:rPr>
      </w:pPr>
      <w:r>
        <w:rPr>
          <w:rFonts w:hint="eastAsia" w:ascii="黑体" w:hAnsi="黑体" w:eastAsia="黑体" w:cs="黑体"/>
          <w:color w:val="333333"/>
          <w:sz w:val="32"/>
          <w:szCs w:val="32"/>
          <w:shd w:val="clear" w:color="auto" w:fill="FFFFFF"/>
        </w:rPr>
        <w:t>8.主要问题和改进措施</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1、在学校管理上还应进一步精细化，制度建设还不完善。加强制度建设，形成统一的管理制度体系。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2、学校主干专业教师多，非主干专业教师偏少，高级“双师型”教师偏少，师资队伍结构有待优化，层次、素质有待提升。继续实施</w:t>
      </w:r>
      <w:r>
        <w:rPr>
          <w:rFonts w:hint="eastAsia" w:ascii="仿宋" w:hAnsi="仿宋" w:eastAsia="仿宋" w:cs="仿宋"/>
          <w:color w:val="000000"/>
          <w:sz w:val="32"/>
          <w:szCs w:val="32"/>
        </w:rPr>
        <w:t>“内部培养，外出取经，引智到家”的教师培养模式，采取聘请、聘用等方式引进优秀的教师资源。</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3、由于校舍空间不足，招生人数受到限制，部分初中毕业生不能来校就读，校舍建设势在必行。加强学校内部基础设施的整合和优化，争取早日成立学校分校，以拓宽招生规模。</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4、专业建设还不能满足区域经济发展需求，应进行广泛市场调研，对专业进行调整和优化，实现与企业良性对接。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5、教学、办公、管理数字化程度有待提高。要不断整合资源，构建网络体系，提高信息化办学程度。</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color w:val="333333"/>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sectPr>
      <w:footerReference r:id="rId6" w:type="default"/>
      <w:pgSz w:w="11906" w:h="16838"/>
      <w:pgMar w:top="1213" w:right="1406" w:bottom="986" w:left="1519" w:header="851" w:footer="992" w:gutter="0"/>
      <w:pgBorders>
        <w:top w:val="none" w:sz="0" w:space="0"/>
        <w:left w:val="none" w:sz="0" w:space="0"/>
        <w:bottom w:val="none" w:sz="0" w:space="0"/>
        <w:right w:val="none" w:sz="0" w:space="0"/>
      </w:pgBorders>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Lucida Sans Unicode">
    <w:panose1 w:val="020B0602030504020204"/>
    <w:charset w:val="00"/>
    <w:family w:val="swiss"/>
    <w:pitch w:val="default"/>
    <w:sig w:usb0="80001AFF" w:usb1="0000396B" w:usb2="00000000" w:usb3="00000000" w:csb0="200000BF" w:csb1="D7F7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pict>
        <v:shape id="_x0000_s2051" o:spid="_x0000_s2051"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2050" o:spid="_x0000_s2050"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w:t>
                </w:r>
                <w:r>
                  <w:rPr>
                    <w:rFonts w:hint="eastAsia"/>
                    <w:sz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2049" o:spid="_x0000_s2049"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owpk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owpkVAgAAFQQAAA4AAAAAAAAA&#10;AQAgAAAAHwEAAGRycy9lMm9Eb2MueG1sUEsFBgAAAAAGAAYAWQEAAKYFAAAAAA==&#1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double" w:color="auto" w:sz="8" w:space="1"/>
      </w:pBdr>
      <w:jc w:val="both"/>
    </w:pPr>
    <w:r>
      <w:rPr>
        <w:rFonts w:hint="eastAsia" w:asciiTheme="majorEastAsia" w:hAnsiTheme="majorEastAsia" w:eastAsiaTheme="majorEastAsia" w:cstheme="majorEastAsia"/>
        <w:b/>
        <w:bCs/>
        <w:sz w:val="52"/>
        <w:szCs w:val="52"/>
      </w:rPr>
      <w:drawing>
        <wp:inline distT="0" distB="0" distL="114300" distR="114300">
          <wp:extent cx="362585" cy="301625"/>
          <wp:effectExtent l="0" t="0" r="18415" b="3175"/>
          <wp:docPr id="15" name="图片 15" descr="校徽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校徽_副本"/>
                  <pic:cNvPicPr>
                    <a:picLocks noChangeAspect="1"/>
                  </pic:cNvPicPr>
                </pic:nvPicPr>
                <pic:blipFill>
                  <a:blip r:embed="rId1"/>
                  <a:stretch>
                    <a:fillRect/>
                  </a:stretch>
                </pic:blipFill>
                <pic:spPr>
                  <a:xfrm>
                    <a:off x="0" y="0"/>
                    <a:ext cx="362585" cy="301625"/>
                  </a:xfrm>
                  <a:prstGeom prst="rect">
                    <a:avLst/>
                  </a:prstGeom>
                </pic:spPr>
              </pic:pic>
            </a:graphicData>
          </a:graphic>
        </wp:inline>
      </w:drawing>
    </w:r>
    <w:r>
      <w:rPr>
        <w:rFonts w:hint="eastAsia" w:asciiTheme="majorEastAsia" w:hAnsiTheme="majorEastAsia" w:eastAsiaTheme="majorEastAsia" w:cstheme="majorEastAsia"/>
        <w:b/>
        <w:bCs/>
        <w:sz w:val="52"/>
        <w:szCs w:val="52"/>
      </w:rPr>
      <w:t xml:space="preserve">                   </w:t>
    </w:r>
    <w:r>
      <w:rPr>
        <w:rFonts w:hint="eastAsia" w:ascii="华文新魏" w:hAnsi="华文新魏" w:eastAsia="华文新魏" w:cs="华文新魏"/>
        <w:b/>
        <w:bCs/>
        <w:sz w:val="21"/>
        <w:szCs w:val="21"/>
      </w:rPr>
      <w:t>宽城满族自治县职业技术教育中心</w:t>
    </w:r>
    <w:r>
      <w:rPr>
        <w:rFonts w:hint="eastAsia" w:asciiTheme="majorEastAsia" w:hAnsiTheme="majorEastAsia" w:eastAsiaTheme="majorEastAsia" w:cstheme="majorEastAsia"/>
        <w:b/>
        <w:bCs/>
        <w:sz w:val="52"/>
        <w:szCs w:val="5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1EB3E"/>
    <w:multiLevelType w:val="singleLevel"/>
    <w:tmpl w:val="5A41EB3E"/>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500ECA"/>
    <w:rsid w:val="002A2C61"/>
    <w:rsid w:val="002B6D91"/>
    <w:rsid w:val="00400931"/>
    <w:rsid w:val="0044005B"/>
    <w:rsid w:val="00500ECA"/>
    <w:rsid w:val="00586002"/>
    <w:rsid w:val="00827D30"/>
    <w:rsid w:val="008A3D85"/>
    <w:rsid w:val="00D52617"/>
    <w:rsid w:val="01035EB8"/>
    <w:rsid w:val="01496914"/>
    <w:rsid w:val="01497211"/>
    <w:rsid w:val="016E6DA4"/>
    <w:rsid w:val="0170733E"/>
    <w:rsid w:val="01714764"/>
    <w:rsid w:val="028D7FD8"/>
    <w:rsid w:val="03091E62"/>
    <w:rsid w:val="03542EA4"/>
    <w:rsid w:val="035F2FEF"/>
    <w:rsid w:val="03AB4EE2"/>
    <w:rsid w:val="053B201C"/>
    <w:rsid w:val="0656783E"/>
    <w:rsid w:val="06E3688E"/>
    <w:rsid w:val="077A3208"/>
    <w:rsid w:val="07831FB1"/>
    <w:rsid w:val="080F3317"/>
    <w:rsid w:val="09355368"/>
    <w:rsid w:val="09B64C3D"/>
    <w:rsid w:val="09F43464"/>
    <w:rsid w:val="0A010C43"/>
    <w:rsid w:val="0A70018F"/>
    <w:rsid w:val="0A970AE8"/>
    <w:rsid w:val="0AC45C27"/>
    <w:rsid w:val="0AC50176"/>
    <w:rsid w:val="0B5C61FD"/>
    <w:rsid w:val="0B792BED"/>
    <w:rsid w:val="0B7B17B5"/>
    <w:rsid w:val="0BC109EF"/>
    <w:rsid w:val="0CA62B6D"/>
    <w:rsid w:val="0CAE4DA4"/>
    <w:rsid w:val="0D296AD9"/>
    <w:rsid w:val="0D4E14D0"/>
    <w:rsid w:val="0D6B6C7F"/>
    <w:rsid w:val="0D782BDD"/>
    <w:rsid w:val="0E4D0883"/>
    <w:rsid w:val="0EC723EE"/>
    <w:rsid w:val="0ECE7FF4"/>
    <w:rsid w:val="0ED55D0A"/>
    <w:rsid w:val="0F2E1570"/>
    <w:rsid w:val="10BE5D92"/>
    <w:rsid w:val="11013C6C"/>
    <w:rsid w:val="11064AC0"/>
    <w:rsid w:val="110D0241"/>
    <w:rsid w:val="1151749D"/>
    <w:rsid w:val="12174A7B"/>
    <w:rsid w:val="121768A0"/>
    <w:rsid w:val="12296B34"/>
    <w:rsid w:val="12C75802"/>
    <w:rsid w:val="13E171D0"/>
    <w:rsid w:val="1405287A"/>
    <w:rsid w:val="146B5479"/>
    <w:rsid w:val="146E0279"/>
    <w:rsid w:val="148510A0"/>
    <w:rsid w:val="152D0A1C"/>
    <w:rsid w:val="15591246"/>
    <w:rsid w:val="15F778EF"/>
    <w:rsid w:val="163371EE"/>
    <w:rsid w:val="1683082C"/>
    <w:rsid w:val="16B159C4"/>
    <w:rsid w:val="16B74E2C"/>
    <w:rsid w:val="16BC616B"/>
    <w:rsid w:val="16D370D8"/>
    <w:rsid w:val="17736C76"/>
    <w:rsid w:val="17B471FE"/>
    <w:rsid w:val="183C475A"/>
    <w:rsid w:val="18594787"/>
    <w:rsid w:val="18E011CB"/>
    <w:rsid w:val="19A41E6F"/>
    <w:rsid w:val="1A171F6C"/>
    <w:rsid w:val="1AE710BD"/>
    <w:rsid w:val="1B284753"/>
    <w:rsid w:val="1B983867"/>
    <w:rsid w:val="1BA17B42"/>
    <w:rsid w:val="1BD22DAD"/>
    <w:rsid w:val="1C077720"/>
    <w:rsid w:val="1C27548C"/>
    <w:rsid w:val="1C343A68"/>
    <w:rsid w:val="1C4324D9"/>
    <w:rsid w:val="1C43363B"/>
    <w:rsid w:val="1D000753"/>
    <w:rsid w:val="1D521C52"/>
    <w:rsid w:val="1D7C50E6"/>
    <w:rsid w:val="1DC04292"/>
    <w:rsid w:val="1E145F0C"/>
    <w:rsid w:val="1E206076"/>
    <w:rsid w:val="1E296CB4"/>
    <w:rsid w:val="1EF92891"/>
    <w:rsid w:val="1F1B422F"/>
    <w:rsid w:val="1F2D79EA"/>
    <w:rsid w:val="1F4250FE"/>
    <w:rsid w:val="1FAF2C6B"/>
    <w:rsid w:val="20D6574D"/>
    <w:rsid w:val="21064FA8"/>
    <w:rsid w:val="2135478A"/>
    <w:rsid w:val="21815F97"/>
    <w:rsid w:val="22107153"/>
    <w:rsid w:val="228E49F5"/>
    <w:rsid w:val="22DD3BFC"/>
    <w:rsid w:val="240D6C1B"/>
    <w:rsid w:val="24376F4A"/>
    <w:rsid w:val="24411284"/>
    <w:rsid w:val="248C2732"/>
    <w:rsid w:val="24971919"/>
    <w:rsid w:val="24B66EC3"/>
    <w:rsid w:val="252B2DDC"/>
    <w:rsid w:val="25A660E5"/>
    <w:rsid w:val="26355215"/>
    <w:rsid w:val="26904FDF"/>
    <w:rsid w:val="26B37094"/>
    <w:rsid w:val="27D25F6A"/>
    <w:rsid w:val="27E201BF"/>
    <w:rsid w:val="28626021"/>
    <w:rsid w:val="28ED4AA0"/>
    <w:rsid w:val="292829FF"/>
    <w:rsid w:val="29F2544A"/>
    <w:rsid w:val="29FD15DE"/>
    <w:rsid w:val="2A2165D9"/>
    <w:rsid w:val="2AB67ACD"/>
    <w:rsid w:val="2AC768A2"/>
    <w:rsid w:val="2AD13745"/>
    <w:rsid w:val="2B2B7C90"/>
    <w:rsid w:val="2BC00C70"/>
    <w:rsid w:val="2BFB529C"/>
    <w:rsid w:val="2C4A0849"/>
    <w:rsid w:val="2D0B4A73"/>
    <w:rsid w:val="2D901E9F"/>
    <w:rsid w:val="2E5945F0"/>
    <w:rsid w:val="2E7C0B37"/>
    <w:rsid w:val="2EAE3517"/>
    <w:rsid w:val="2EC03BE2"/>
    <w:rsid w:val="2EE400C6"/>
    <w:rsid w:val="2F5F2A0E"/>
    <w:rsid w:val="2F8D5FB7"/>
    <w:rsid w:val="2FAC43EF"/>
    <w:rsid w:val="2FAE71A5"/>
    <w:rsid w:val="2FB27564"/>
    <w:rsid w:val="2FD74682"/>
    <w:rsid w:val="30671744"/>
    <w:rsid w:val="307B2FA0"/>
    <w:rsid w:val="307B3C3B"/>
    <w:rsid w:val="30F51C0C"/>
    <w:rsid w:val="320A0D3A"/>
    <w:rsid w:val="331C0A47"/>
    <w:rsid w:val="342E747D"/>
    <w:rsid w:val="3603584B"/>
    <w:rsid w:val="36173690"/>
    <w:rsid w:val="388A242F"/>
    <w:rsid w:val="39E00113"/>
    <w:rsid w:val="3B503461"/>
    <w:rsid w:val="3BBC583B"/>
    <w:rsid w:val="3ECC7E69"/>
    <w:rsid w:val="3EDB1A6C"/>
    <w:rsid w:val="3F333B3C"/>
    <w:rsid w:val="3F5F79E3"/>
    <w:rsid w:val="3F905EEF"/>
    <w:rsid w:val="3F9A3D83"/>
    <w:rsid w:val="3FC34E91"/>
    <w:rsid w:val="3FC95440"/>
    <w:rsid w:val="3FDF3ACB"/>
    <w:rsid w:val="401C2975"/>
    <w:rsid w:val="40471AD6"/>
    <w:rsid w:val="40E80DC3"/>
    <w:rsid w:val="429736C0"/>
    <w:rsid w:val="42E259FB"/>
    <w:rsid w:val="43900611"/>
    <w:rsid w:val="43A558C3"/>
    <w:rsid w:val="43B37C78"/>
    <w:rsid w:val="43DA5BFF"/>
    <w:rsid w:val="44366643"/>
    <w:rsid w:val="447777E7"/>
    <w:rsid w:val="447909D9"/>
    <w:rsid w:val="44F6224D"/>
    <w:rsid w:val="45267392"/>
    <w:rsid w:val="457B16AE"/>
    <w:rsid w:val="457D6B0B"/>
    <w:rsid w:val="45A6697A"/>
    <w:rsid w:val="45D23F08"/>
    <w:rsid w:val="45E156F3"/>
    <w:rsid w:val="463C0877"/>
    <w:rsid w:val="46426FB5"/>
    <w:rsid w:val="46530BAE"/>
    <w:rsid w:val="469907CE"/>
    <w:rsid w:val="46B37D8D"/>
    <w:rsid w:val="46DD36A4"/>
    <w:rsid w:val="46F54065"/>
    <w:rsid w:val="47232A41"/>
    <w:rsid w:val="49070BDB"/>
    <w:rsid w:val="49657163"/>
    <w:rsid w:val="4A1370D0"/>
    <w:rsid w:val="4A2818AB"/>
    <w:rsid w:val="4AB03D38"/>
    <w:rsid w:val="4AB80617"/>
    <w:rsid w:val="4B3504AC"/>
    <w:rsid w:val="4BAF486A"/>
    <w:rsid w:val="4C8C4F73"/>
    <w:rsid w:val="4CE421AE"/>
    <w:rsid w:val="4D3F6173"/>
    <w:rsid w:val="4D8238C7"/>
    <w:rsid w:val="4DB8059B"/>
    <w:rsid w:val="4DCD2BD7"/>
    <w:rsid w:val="4F220B07"/>
    <w:rsid w:val="4FAE64EA"/>
    <w:rsid w:val="4FB95F23"/>
    <w:rsid w:val="4FC254F8"/>
    <w:rsid w:val="4FC572DA"/>
    <w:rsid w:val="4FD24140"/>
    <w:rsid w:val="500F7B3E"/>
    <w:rsid w:val="50951124"/>
    <w:rsid w:val="50A43494"/>
    <w:rsid w:val="50B17590"/>
    <w:rsid w:val="516A7DAA"/>
    <w:rsid w:val="517D0312"/>
    <w:rsid w:val="51AD0CB0"/>
    <w:rsid w:val="51EE69AD"/>
    <w:rsid w:val="52006541"/>
    <w:rsid w:val="522601E5"/>
    <w:rsid w:val="525876EB"/>
    <w:rsid w:val="52CB5B7D"/>
    <w:rsid w:val="535C41CB"/>
    <w:rsid w:val="53673B57"/>
    <w:rsid w:val="537638E1"/>
    <w:rsid w:val="54757F4A"/>
    <w:rsid w:val="549C5066"/>
    <w:rsid w:val="54FD67AB"/>
    <w:rsid w:val="55234F2D"/>
    <w:rsid w:val="55823626"/>
    <w:rsid w:val="55996138"/>
    <w:rsid w:val="559E1AF3"/>
    <w:rsid w:val="55B71D35"/>
    <w:rsid w:val="55BD2E1E"/>
    <w:rsid w:val="56556FD5"/>
    <w:rsid w:val="56B032E2"/>
    <w:rsid w:val="56CF4FD9"/>
    <w:rsid w:val="56DA2397"/>
    <w:rsid w:val="575643DE"/>
    <w:rsid w:val="57AB5AA0"/>
    <w:rsid w:val="58083C48"/>
    <w:rsid w:val="58F47B68"/>
    <w:rsid w:val="590E0E72"/>
    <w:rsid w:val="59403668"/>
    <w:rsid w:val="5AC55DB5"/>
    <w:rsid w:val="5B26039D"/>
    <w:rsid w:val="5BF73BF7"/>
    <w:rsid w:val="5CB9751C"/>
    <w:rsid w:val="5CF42EAC"/>
    <w:rsid w:val="5D733C7E"/>
    <w:rsid w:val="5DFA0296"/>
    <w:rsid w:val="5E197204"/>
    <w:rsid w:val="5EE06AE6"/>
    <w:rsid w:val="5EEB7209"/>
    <w:rsid w:val="5F36430F"/>
    <w:rsid w:val="5F44436C"/>
    <w:rsid w:val="5FD73BE4"/>
    <w:rsid w:val="5FD86409"/>
    <w:rsid w:val="5FDD22AF"/>
    <w:rsid w:val="609E20DB"/>
    <w:rsid w:val="621423BE"/>
    <w:rsid w:val="633061CC"/>
    <w:rsid w:val="63315AFA"/>
    <w:rsid w:val="63565DA6"/>
    <w:rsid w:val="63592140"/>
    <w:rsid w:val="63F520F8"/>
    <w:rsid w:val="642F2A19"/>
    <w:rsid w:val="656F4E22"/>
    <w:rsid w:val="6692429C"/>
    <w:rsid w:val="6695485B"/>
    <w:rsid w:val="66EC3A07"/>
    <w:rsid w:val="672A1082"/>
    <w:rsid w:val="67716AE7"/>
    <w:rsid w:val="67CB0AD9"/>
    <w:rsid w:val="67DC1161"/>
    <w:rsid w:val="689111E9"/>
    <w:rsid w:val="68BA310F"/>
    <w:rsid w:val="695D7FBA"/>
    <w:rsid w:val="69E44C3E"/>
    <w:rsid w:val="6AFD1D04"/>
    <w:rsid w:val="6B88047D"/>
    <w:rsid w:val="6C895808"/>
    <w:rsid w:val="6CBB3D77"/>
    <w:rsid w:val="6E477333"/>
    <w:rsid w:val="6EEC1800"/>
    <w:rsid w:val="704F348F"/>
    <w:rsid w:val="70A20F61"/>
    <w:rsid w:val="70C22C0D"/>
    <w:rsid w:val="71912A0D"/>
    <w:rsid w:val="71B3637A"/>
    <w:rsid w:val="71EB3738"/>
    <w:rsid w:val="72120281"/>
    <w:rsid w:val="722D5E01"/>
    <w:rsid w:val="724C7769"/>
    <w:rsid w:val="72890A4F"/>
    <w:rsid w:val="73CC1803"/>
    <w:rsid w:val="74491C53"/>
    <w:rsid w:val="747A55F5"/>
    <w:rsid w:val="74934CD4"/>
    <w:rsid w:val="749F7888"/>
    <w:rsid w:val="74A147FE"/>
    <w:rsid w:val="74DF0E92"/>
    <w:rsid w:val="74FB6996"/>
    <w:rsid w:val="757F4C8D"/>
    <w:rsid w:val="75AF3DEC"/>
    <w:rsid w:val="7745049F"/>
    <w:rsid w:val="775E3E80"/>
    <w:rsid w:val="77906DD3"/>
    <w:rsid w:val="788A1448"/>
    <w:rsid w:val="78CD62D8"/>
    <w:rsid w:val="78E01985"/>
    <w:rsid w:val="78FA4E94"/>
    <w:rsid w:val="79DB3103"/>
    <w:rsid w:val="7A0178CE"/>
    <w:rsid w:val="7A2A5120"/>
    <w:rsid w:val="7A810C84"/>
    <w:rsid w:val="7AD5667B"/>
    <w:rsid w:val="7B700CE9"/>
    <w:rsid w:val="7C1106E4"/>
    <w:rsid w:val="7C4A0746"/>
    <w:rsid w:val="7D171343"/>
    <w:rsid w:val="7D485092"/>
    <w:rsid w:val="7D4D7FEB"/>
    <w:rsid w:val="7D6D6C77"/>
    <w:rsid w:val="7D7433C8"/>
    <w:rsid w:val="7DA15191"/>
    <w:rsid w:val="7DEC3162"/>
    <w:rsid w:val="7E28698D"/>
    <w:rsid w:val="7E75602E"/>
    <w:rsid w:val="7EB34BB7"/>
    <w:rsid w:val="7EDB0A61"/>
    <w:rsid w:val="7FFA3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qFormat/>
    <w:uiPriority w:val="0"/>
    <w:rPr>
      <w:rFonts w:hint="eastAsia" w:ascii="宋体" w:hAnsi="Courier New" w:eastAsia="宋体" w:cs="Times New Roman"/>
      <w:szCs w:val="21"/>
    </w:rPr>
  </w:style>
  <w:style w:type="paragraph" w:styleId="3">
    <w:name w:val="Balloon Text"/>
    <w:basedOn w:val="1"/>
    <w:link w:val="13"/>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character" w:styleId="8">
    <w:name w:val="page number"/>
    <w:basedOn w:val="7"/>
    <w:qFormat/>
    <w:uiPriority w:val="0"/>
  </w:style>
  <w:style w:type="character" w:styleId="9">
    <w:name w:val="Hyperlink"/>
    <w:basedOn w:val="7"/>
    <w:qFormat/>
    <w:uiPriority w:val="0"/>
    <w:rPr>
      <w:color w:val="1F3A87"/>
      <w:u w:val="none"/>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2">
    <w:name w:val="font11"/>
    <w:basedOn w:val="7"/>
    <w:qFormat/>
    <w:uiPriority w:val="0"/>
    <w:rPr>
      <w:rFonts w:hint="eastAsia" w:ascii="宋体" w:hAnsi="宋体" w:eastAsia="宋体" w:cs="宋体"/>
      <w:color w:val="000000"/>
      <w:sz w:val="32"/>
      <w:szCs w:val="32"/>
      <w:u w:val="none"/>
    </w:rPr>
  </w:style>
  <w:style w:type="character" w:customStyle="1" w:styleId="13">
    <w:name w:val="批注框文本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chart" Target="charts/chart20.xml"/><Relationship Id="rId41" Type="http://schemas.openxmlformats.org/officeDocument/2006/relationships/chart" Target="charts/chart19.xml"/><Relationship Id="rId40" Type="http://schemas.openxmlformats.org/officeDocument/2006/relationships/chart" Target="charts/chart18.xml"/><Relationship Id="rId4" Type="http://schemas.openxmlformats.org/officeDocument/2006/relationships/footer" Target="footer1.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chart" Target="charts/chart17.xml"/><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header" Target="header1.xml"/><Relationship Id="rId29" Type="http://schemas.openxmlformats.org/officeDocument/2006/relationships/chart" Target="charts/chart16.xml"/><Relationship Id="rId28" Type="http://schemas.openxmlformats.org/officeDocument/2006/relationships/chart" Target="charts/chart15.xml"/><Relationship Id="rId27" Type="http://schemas.openxmlformats.org/officeDocument/2006/relationships/chart" Target="charts/chart14.xml"/><Relationship Id="rId26" Type="http://schemas.openxmlformats.org/officeDocument/2006/relationships/chart" Target="charts/chart13.xml"/><Relationship Id="rId25" Type="http://schemas.openxmlformats.org/officeDocument/2006/relationships/chart" Target="charts/chart12.xml"/><Relationship Id="rId24" Type="http://schemas.openxmlformats.org/officeDocument/2006/relationships/image" Target="media/image7.jpeg"/><Relationship Id="rId23" Type="http://schemas.openxmlformats.org/officeDocument/2006/relationships/chart" Target="charts/chart11.xml"/><Relationship Id="rId22" Type="http://schemas.openxmlformats.org/officeDocument/2006/relationships/chart" Target="charts/chart10.xml"/><Relationship Id="rId21" Type="http://schemas.openxmlformats.org/officeDocument/2006/relationships/chart" Target="charts/chart9.xml"/><Relationship Id="rId20" Type="http://schemas.openxmlformats.org/officeDocument/2006/relationships/chart" Target="charts/chart8.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chart" Target="charts/chart7.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26032;&#24314;%20XLS%20&#24037;&#20316;&#34920;.xls"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lenovo\Desktop\&#26032;&#24314;%20XLS%20&#24037;&#20316;&#34920;.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enovo\Desktop\&#26032;&#24314;%20XLS%20&#24037;&#20316;&#34920;.xls"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C:\Users\lenovo\Desktop\&#26032;&#24314;%20XLS%20&#24037;&#20316;&#34920;.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26700;&#38754;\&#24180;&#24230;&#36136;&#37327;&#25253;&#21578;&#25955;&#30862;&#36164;&#26009;\&#32534;&#21046;&#24180;&#24230;&#25253;&#21578;\&#32844;&#25945;&#20013;&#24515;2017&#24180;&#24230;&#35843;&#26597;&#34920;.xlsx"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lenovo\Desktop\&#26032;&#24314;%20XLS%20&#24037;&#20316;&#34920;.xls"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C:\Users\lenovo\Desktop\&#26032;&#24314;%20XLS%20&#24037;&#20316;&#34920;.xls"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C:\Users\lenovo\Desktop\&#26032;&#24314;%20XLS%20&#24037;&#20316;&#34920;.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enovo\Desktop\2019&#36136;&#37327;&#24180;&#24230;&#25253;&#21578;&#21508;&#22788;&#23460;&#25552;&#20379;\18&#36136;&#37327;&#25552;&#21319;\3.3&#25945;&#24072;&#22521;&#20859;&#22521;&#35757;\17&#65293;18&#22806;&#20986;&#22521;&#35757;&#20154;&#25968;&#21464;&#21270;&#24773;&#20917;&#34920;.xlsx"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C:\Users\lenovo\Desktop\&#26032;&#24314;%20XLS%20&#24037;&#20316;&#34920;.xls" TargetMode="External"/></Relationships>
</file>

<file path=word/charts/_rels/chart19.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lenovo\Desktop\&#26032;&#24314;%20XLS%20&#24037;&#20316;&#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26032;&#24314;%20XLS%20&#24037;&#20316;&#34920;.xls" TargetMode="External"/></Relationships>
</file>

<file path=word/charts/_rels/chart20.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lenovo\Desktop\&#26032;&#24314;%20XLS%20&#24037;&#20316;&#34920;.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lenovo\Desktop\&#26032;&#24314;%20XLS%20&#24037;&#20316;&#34920;.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lenovo\Desktop\&#26032;&#24314;%20XLS%20&#24037;&#20316;&#349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esktop\&#26032;&#24314;%20XLS%20&#24037;&#20316;&#34920;.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lenovo\Desktop\&#26032;&#24314;%20XLS%20&#24037;&#20316;&#34920;.xls"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lenovo\Desktop\&#26032;&#24314;%20XLS%20&#24037;&#20316;&#34920;.xls"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lenovo\Desktop\&#26032;&#24314;%20XLS%20&#24037;&#20316;&#34920;.xls"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lenovo\Desktop\&#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2018年度专业分布 图 （单位人） </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pieChart>
        <c:varyColors val="1"/>
        <c:ser>
          <c:idx val="0"/>
          <c:order val="0"/>
          <c:tx>
            <c:strRef>
              <c:f>'[新建 XLS 工作表.xls]Sheet1'!$C$1:$C$2</c:f>
              <c:strCache>
                <c:ptCount val="1"/>
                <c:pt idx="0">
                  <c:v>2018年度专业分布 人数</c:v>
                </c:pt>
              </c:strCache>
            </c:strRef>
          </c:tx>
          <c:explosion val="0"/>
          <c:dPt>
            <c:idx val="0"/>
            <c:bubble3D val="0"/>
            <c:explosion val="0"/>
            <c:spPr>
              <a:solidFill>
                <a:schemeClr val="accent1"/>
              </a:solidFill>
              <a:ln w="19050">
                <a:solidFill>
                  <a:schemeClr val="lt1"/>
                </a:solidFill>
              </a:ln>
              <a:effectLst/>
            </c:spPr>
          </c:dPt>
          <c:dPt>
            <c:idx val="1"/>
            <c:bubble3D val="0"/>
            <c:explosion val="0"/>
            <c:spPr>
              <a:solidFill>
                <a:schemeClr val="accent2"/>
              </a:solidFill>
              <a:ln w="19050">
                <a:solidFill>
                  <a:schemeClr val="lt1"/>
                </a:solidFill>
              </a:ln>
              <a:effectLst/>
            </c:spPr>
          </c:dPt>
          <c:dPt>
            <c:idx val="2"/>
            <c:bubble3D val="0"/>
            <c:explosion val="0"/>
            <c:spPr>
              <a:solidFill>
                <a:schemeClr val="accent3"/>
              </a:solidFill>
              <a:ln w="19050">
                <a:solidFill>
                  <a:schemeClr val="lt1"/>
                </a:solidFill>
              </a:ln>
              <a:effectLst/>
            </c:spPr>
          </c:dPt>
          <c:dPt>
            <c:idx val="3"/>
            <c:bubble3D val="0"/>
            <c:explosion val="0"/>
            <c:spPr>
              <a:solidFill>
                <a:schemeClr val="accent4"/>
              </a:solidFill>
              <a:ln w="19050">
                <a:solidFill>
                  <a:schemeClr val="lt1"/>
                </a:solidFill>
              </a:ln>
              <a:effectLst/>
            </c:spPr>
          </c:dPt>
          <c:dPt>
            <c:idx val="4"/>
            <c:bubble3D val="0"/>
            <c:explosion val="0"/>
            <c:spPr>
              <a:solidFill>
                <a:schemeClr val="accent5"/>
              </a:solidFill>
              <a:ln w="19050">
                <a:solidFill>
                  <a:schemeClr val="lt1"/>
                </a:solidFill>
              </a:ln>
              <a:effectLst/>
            </c:spPr>
          </c:dPt>
          <c:dPt>
            <c:idx val="5"/>
            <c:bubble3D val="0"/>
            <c:explosion val="0"/>
            <c:spPr>
              <a:solidFill>
                <a:schemeClr val="accent6"/>
              </a:solidFill>
              <a:ln w="19050">
                <a:solidFill>
                  <a:schemeClr val="lt1"/>
                </a:solidFill>
              </a:ln>
              <a:effectLst/>
            </c:spPr>
          </c:dPt>
          <c:dPt>
            <c:idx val="6"/>
            <c:bubble3D val="0"/>
            <c:explosion val="0"/>
            <c:spPr>
              <a:solidFill>
                <a:schemeClr val="accent1">
                  <a:lumMod val="60000"/>
                </a:schemeClr>
              </a:solidFill>
              <a:ln w="19050">
                <a:solidFill>
                  <a:schemeClr val="lt1"/>
                </a:solidFill>
              </a:ln>
              <a:effectLst/>
            </c:spPr>
          </c:dPt>
          <c:dLbls>
            <c:dLbl>
              <c:idx val="0"/>
              <c:layout>
                <c:manualLayout>
                  <c:x val="0.00848403701641875"/>
                  <c:y val="0.031658856813849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22794940903323"/>
                  <c:y val="-0.03148679965674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70148658708192"/>
                  <c:y val="-0.035234506055343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11797213181473"/>
                  <c:y val="0.010890144803206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39887795525646"/>
                  <c:y val="0.035516341026014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969696">
                          <a:alpha val="100000"/>
                        </a:srgbClr>
                      </a:solidFill>
                      <a:prstDash val="solid"/>
                      <a:round/>
                    </a:ln>
                  </c:spPr>
                </c15:leaderLines>
              </c:ext>
            </c:extLst>
          </c:dLbls>
          <c:cat>
            <c:strRef>
              <c:f>'[新建 XLS 工作表.xls]Sheet1'!$B$3:$B$9</c:f>
              <c:strCache>
                <c:ptCount val="7"/>
                <c:pt idx="0">
                  <c:v>会计电算化</c:v>
                </c:pt>
                <c:pt idx="1">
                  <c:v>电子商务</c:v>
                </c:pt>
                <c:pt idx="2">
                  <c:v>旅游服务与管理</c:v>
                </c:pt>
                <c:pt idx="3">
                  <c:v>电气技术应用</c:v>
                </c:pt>
                <c:pt idx="4">
                  <c:v>现代林业技术</c:v>
                </c:pt>
                <c:pt idx="5">
                  <c:v>机电技术应用</c:v>
                </c:pt>
                <c:pt idx="6">
                  <c:v>计算机应用</c:v>
                </c:pt>
              </c:strCache>
            </c:strRef>
          </c:cat>
          <c:val>
            <c:numRef>
              <c:f>'[新建 XLS 工作表.xls]Sheet1'!$C$3:$C$9</c:f>
              <c:numCache>
                <c:formatCode>General</c:formatCode>
                <c:ptCount val="7"/>
                <c:pt idx="0">
                  <c:v>460</c:v>
                </c:pt>
                <c:pt idx="1">
                  <c:v>100</c:v>
                </c:pt>
                <c:pt idx="2">
                  <c:v>97</c:v>
                </c:pt>
                <c:pt idx="3">
                  <c:v>244</c:v>
                </c:pt>
                <c:pt idx="4">
                  <c:v>295</c:v>
                </c:pt>
                <c:pt idx="5">
                  <c:v>513</c:v>
                </c:pt>
                <c:pt idx="6">
                  <c:v>410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设备数（单位：个）</a:t>
            </a:r>
          </a:p>
        </c:rich>
      </c:tx>
      <c:layout/>
      <c:overlay val="0"/>
      <c:spPr>
        <a:noFill/>
        <a:ln>
          <a:noFill/>
        </a:ln>
        <a:effectLst/>
      </c:spPr>
    </c:title>
    <c:autoTitleDeleted val="0"/>
    <c:plotArea>
      <c:layout/>
      <c:barChart>
        <c:barDir val="col"/>
        <c:grouping val="clustered"/>
        <c:varyColors val="0"/>
        <c:ser>
          <c:idx val="0"/>
          <c:order val="0"/>
          <c:tx>
            <c:strRef>
              <c:f>'[新建 XLS 工作表.xls]Sheet1'!$A$84</c:f>
              <c:strCache>
                <c:ptCount val="1"/>
                <c:pt idx="0">
                  <c:v>设备数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工作表.xls]Sheet1'!$B$83:$C$83</c:f>
              <c:strCache>
                <c:ptCount val="2"/>
                <c:pt idx="0">
                  <c:v>2017年度</c:v>
                </c:pt>
                <c:pt idx="1">
                  <c:v>2018年度</c:v>
                </c:pt>
              </c:strCache>
            </c:strRef>
          </c:cat>
          <c:val>
            <c:numRef>
              <c:f>'[新建 XLS 工作表.xls]Sheet1'!$B$84:$C$84</c:f>
              <c:numCache>
                <c:formatCode>General</c:formatCode>
                <c:ptCount val="2"/>
                <c:pt idx="0">
                  <c:v>407</c:v>
                </c:pt>
                <c:pt idx="1">
                  <c:v>462</c:v>
                </c:pt>
              </c:numCache>
            </c:numRef>
          </c:val>
        </c:ser>
        <c:dLbls>
          <c:showLegendKey val="0"/>
          <c:showVal val="1"/>
          <c:showCatName val="0"/>
          <c:showSerName val="0"/>
          <c:showPercent val="0"/>
          <c:showBubbleSize val="0"/>
        </c:dLbls>
        <c:gapWidth val="219"/>
        <c:overlap val="-27"/>
        <c:axId val="771524742"/>
        <c:axId val="754672416"/>
      </c:barChart>
      <c:catAx>
        <c:axId val="77152474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4672416"/>
        <c:crosses val="autoZero"/>
        <c:auto val="1"/>
        <c:lblAlgn val="ctr"/>
        <c:lblOffset val="100"/>
        <c:noMultiLvlLbl val="0"/>
      </c:catAx>
      <c:valAx>
        <c:axId val="75467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1524742"/>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实习工位（单位：个）</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tx>
            <c:strRef>
              <c:f>'[新建 XLS 工作表.xls]Sheet1'!$A$90</c:f>
              <c:strCache>
                <c:ptCount val="1"/>
                <c:pt idx="0">
                  <c:v>实习工位</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'[新建 XLS 工作表.xls]Sheet1'!$B$89:$C$89</c:f>
              <c:strCache>
                <c:ptCount val="2"/>
                <c:pt idx="0">
                  <c:v>2017年度</c:v>
                </c:pt>
                <c:pt idx="1">
                  <c:v>2018年度</c:v>
                </c:pt>
              </c:strCache>
            </c:strRef>
          </c:cat>
          <c:val>
            <c:numRef>
              <c:f>'[新建 XLS 工作表.xls]Sheet1'!$B$90:$C$90</c:f>
              <c:numCache>
                <c:formatCode>General</c:formatCode>
                <c:ptCount val="2"/>
                <c:pt idx="0">
                  <c:v>686</c:v>
                </c:pt>
                <c:pt idx="1">
                  <c:v>702</c:v>
                </c:pt>
              </c:numCache>
            </c:numRef>
          </c:val>
        </c:ser>
        <c:dLbls>
          <c:showLegendKey val="0"/>
          <c:showVal val="0"/>
          <c:showCatName val="0"/>
          <c:showSerName val="0"/>
          <c:showPercent val="0"/>
          <c:showBubbleSize val="0"/>
        </c:dLbls>
        <c:gapWidth val="219"/>
        <c:overlap val="-27"/>
        <c:axId val="873719908"/>
        <c:axId val="913952861"/>
      </c:barChart>
      <c:catAx>
        <c:axId val="87371990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3952861"/>
        <c:crosses val="autoZero"/>
        <c:auto val="1"/>
        <c:lblAlgn val="ctr"/>
        <c:lblOffset val="100"/>
        <c:noMultiLvlLbl val="0"/>
      </c:catAx>
      <c:valAx>
        <c:axId val="91395286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3719908"/>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学生各项素质合格率统计表</a:t>
            </a:r>
          </a:p>
        </c:rich>
      </c:tx>
      <c:layout>
        <c:manualLayout>
          <c:xMode val="edge"/>
          <c:yMode val="edge"/>
          <c:x val="0.29619936276741"/>
          <c:y val="0.0537109375"/>
        </c:manualLayout>
      </c:layout>
      <c:overlay val="0"/>
      <c:spPr>
        <a:noFill/>
        <a:ln>
          <a:noFill/>
        </a:ln>
        <a:effectLst/>
      </c:spPr>
    </c:title>
    <c:autoTitleDeleted val="0"/>
    <c:plotArea>
      <c:layout/>
      <c:barChart>
        <c:barDir val="col"/>
        <c:grouping val="clustered"/>
        <c:varyColors val="0"/>
        <c:ser>
          <c:idx val="0"/>
          <c:order val="0"/>
          <c:tx>
            <c:strRef>
              <c:f>'[新建 XLS 工作表.xls]Sheet1'!$B$93</c:f>
              <c:strCache>
                <c:ptCount val="1"/>
                <c:pt idx="0">
                  <c:v>2017年度合格率</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工作表.xls]Sheet1'!$A$94:$A$97</c:f>
              <c:strCache>
                <c:ptCount val="4"/>
                <c:pt idx="0">
                  <c:v>文化课</c:v>
                </c:pt>
                <c:pt idx="1">
                  <c:v>专业</c:v>
                </c:pt>
                <c:pt idx="2">
                  <c:v>体质测评</c:v>
                </c:pt>
                <c:pt idx="3">
                  <c:v>毕业率</c:v>
                </c:pt>
              </c:strCache>
            </c:strRef>
          </c:cat>
          <c:val>
            <c:numRef>
              <c:f>'[新建 XLS 工作表.xls]Sheet1'!$B$94:$B$97</c:f>
              <c:numCache>
                <c:formatCode>0%</c:formatCode>
                <c:ptCount val="4"/>
                <c:pt idx="0">
                  <c:v>0.99</c:v>
                </c:pt>
                <c:pt idx="1">
                  <c:v>1</c:v>
                </c:pt>
                <c:pt idx="2">
                  <c:v>0.93</c:v>
                </c:pt>
                <c:pt idx="3">
                  <c:v>0.87</c:v>
                </c:pt>
              </c:numCache>
            </c:numRef>
          </c:val>
        </c:ser>
        <c:ser>
          <c:idx val="1"/>
          <c:order val="1"/>
          <c:tx>
            <c:strRef>
              <c:f>'[新建 XLS 工作表.xls]Sheet1'!$C$93</c:f>
              <c:strCache>
                <c:ptCount val="1"/>
                <c:pt idx="0">
                  <c:v>2018年度合格率</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工作表.xls]Sheet1'!$A$94:$A$97</c:f>
              <c:strCache>
                <c:ptCount val="4"/>
                <c:pt idx="0">
                  <c:v>文化课</c:v>
                </c:pt>
                <c:pt idx="1">
                  <c:v>专业</c:v>
                </c:pt>
                <c:pt idx="2">
                  <c:v>体质测评</c:v>
                </c:pt>
                <c:pt idx="3">
                  <c:v>毕业率</c:v>
                </c:pt>
              </c:strCache>
            </c:strRef>
          </c:cat>
          <c:val>
            <c:numRef>
              <c:f>'[新建 XLS 工作表.xls]Sheet1'!$C$94:$C$97</c:f>
              <c:numCache>
                <c:formatCode>0%</c:formatCode>
                <c:ptCount val="4"/>
                <c:pt idx="0">
                  <c:v>0.99</c:v>
                </c:pt>
                <c:pt idx="1">
                  <c:v>1</c:v>
                </c:pt>
                <c:pt idx="2" c:formatCode="0.00%">
                  <c:v>0.932</c:v>
                </c:pt>
                <c:pt idx="3" c:formatCode="0.00%">
                  <c:v>0.8987</c:v>
                </c:pt>
              </c:numCache>
            </c:numRef>
          </c:val>
        </c:ser>
        <c:dLbls>
          <c:showLegendKey val="0"/>
          <c:showVal val="1"/>
          <c:showCatName val="0"/>
          <c:showSerName val="0"/>
          <c:showPercent val="0"/>
          <c:showBubbleSize val="0"/>
        </c:dLbls>
        <c:gapWidth val="219"/>
        <c:overlap val="-27"/>
        <c:axId val="657849878"/>
        <c:axId val="306476496"/>
      </c:barChart>
      <c:catAx>
        <c:axId val="65784987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6476496"/>
        <c:crosses val="autoZero"/>
        <c:auto val="1"/>
        <c:lblAlgn val="ctr"/>
        <c:lblOffset val="100"/>
        <c:noMultiLvlLbl val="0"/>
      </c:catAx>
      <c:valAx>
        <c:axId val="306476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784987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学生在校体验满意度柱状图</a:t>
            </a:r>
            <a:endParaRPr b="1"/>
          </a:p>
        </c:rich>
      </c:tx>
      <c:layout/>
      <c:overlay val="0"/>
      <c:spPr>
        <a:noFill/>
        <a:ln>
          <a:noFill/>
        </a:ln>
        <a:effectLst/>
      </c:spPr>
    </c:title>
    <c:autoTitleDeleted val="0"/>
    <c:plotArea>
      <c:layout/>
      <c:barChart>
        <c:barDir val="col"/>
        <c:grouping val="clustered"/>
        <c:varyColors val="0"/>
        <c:ser>
          <c:idx val="0"/>
          <c:order val="0"/>
          <c:tx>
            <c:strRef>
              <c:f>'[职教中心2017年度调查表.xlsx]2.2'!$B$1</c:f>
              <c:strCache>
                <c:ptCount val="1"/>
                <c:pt idx="0">
                  <c:v>一年级</c:v>
                </c:pt>
              </c:strCache>
            </c:strRef>
          </c:tx>
          <c:spPr>
            <a:solidFill>
              <a:schemeClr val="accent1"/>
            </a:solidFill>
            <a:ln>
              <a:noFill/>
            </a:ln>
            <a:effectLst/>
          </c:spPr>
          <c:invertIfNegative val="0"/>
          <c:dLbls>
            <c:delete val="1"/>
          </c:dLbls>
          <c:cat>
            <c:strRef>
              <c:f>'[职教中心2017年度调查表.xlsx]2.2'!$A$2:$A$8</c:f>
              <c:strCache>
                <c:ptCount val="7"/>
                <c:pt idx="0">
                  <c:v>理论学习满意度</c:v>
                </c:pt>
                <c:pt idx="1">
                  <c:v>专业学习满意度</c:v>
                </c:pt>
                <c:pt idx="2">
                  <c:v>实习实训满意度</c:v>
                </c:pt>
                <c:pt idx="3">
                  <c:v>校园文化与社团活动满意度</c:v>
                </c:pt>
                <c:pt idx="4">
                  <c:v>生活满意度</c:v>
                </c:pt>
                <c:pt idx="5">
                  <c:v>校园安全满意度</c:v>
                </c:pt>
                <c:pt idx="6">
                  <c:v>毕业生对学校满意度</c:v>
                </c:pt>
              </c:strCache>
            </c:strRef>
          </c:cat>
          <c:val>
            <c:numRef>
              <c:f>'[职教中心2017年度调查表.xlsx]2.2'!$B$2:$B$8</c:f>
              <c:numCache>
                <c:formatCode>0%</c:formatCode>
                <c:ptCount val="7"/>
                <c:pt idx="0">
                  <c:v>0.95</c:v>
                </c:pt>
                <c:pt idx="1">
                  <c:v>0.95</c:v>
                </c:pt>
                <c:pt idx="2">
                  <c:v>0.96</c:v>
                </c:pt>
                <c:pt idx="3">
                  <c:v>0.96</c:v>
                </c:pt>
                <c:pt idx="4">
                  <c:v>0.94</c:v>
                </c:pt>
                <c:pt idx="5">
                  <c:v>0.96</c:v>
                </c:pt>
                <c:pt idx="6">
                  <c:v>0.96</c:v>
                </c:pt>
              </c:numCache>
            </c:numRef>
          </c:val>
        </c:ser>
        <c:ser>
          <c:idx val="1"/>
          <c:order val="1"/>
          <c:tx>
            <c:strRef>
              <c:f>'[职教中心2017年度调查表.xlsx]2.2'!$C$1</c:f>
              <c:strCache>
                <c:ptCount val="1"/>
                <c:pt idx="0">
                  <c:v>二年级</c:v>
                </c:pt>
              </c:strCache>
            </c:strRef>
          </c:tx>
          <c:spPr>
            <a:solidFill>
              <a:schemeClr val="accent2"/>
            </a:solidFill>
            <a:ln>
              <a:noFill/>
            </a:ln>
            <a:effectLst/>
          </c:spPr>
          <c:invertIfNegative val="0"/>
          <c:dLbls>
            <c:delete val="1"/>
          </c:dLbls>
          <c:cat>
            <c:strRef>
              <c:f>'[职教中心2017年度调查表.xlsx]2.2'!$A$2:$A$8</c:f>
              <c:strCache>
                <c:ptCount val="7"/>
                <c:pt idx="0">
                  <c:v>理论学习满意度</c:v>
                </c:pt>
                <c:pt idx="1">
                  <c:v>专业学习满意度</c:v>
                </c:pt>
                <c:pt idx="2">
                  <c:v>实习实训满意度</c:v>
                </c:pt>
                <c:pt idx="3">
                  <c:v>校园文化与社团活动满意度</c:v>
                </c:pt>
                <c:pt idx="4">
                  <c:v>生活满意度</c:v>
                </c:pt>
                <c:pt idx="5">
                  <c:v>校园安全满意度</c:v>
                </c:pt>
                <c:pt idx="6">
                  <c:v>毕业生对学校满意度</c:v>
                </c:pt>
              </c:strCache>
            </c:strRef>
          </c:cat>
          <c:val>
            <c:numRef>
              <c:f>'[职教中心2017年度调查表.xlsx]2.2'!$C$2:$C$8</c:f>
              <c:numCache>
                <c:formatCode>0%</c:formatCode>
                <c:ptCount val="7"/>
                <c:pt idx="0">
                  <c:v>0.96</c:v>
                </c:pt>
                <c:pt idx="1">
                  <c:v>0.96</c:v>
                </c:pt>
                <c:pt idx="2">
                  <c:v>0.97</c:v>
                </c:pt>
                <c:pt idx="3">
                  <c:v>0.98</c:v>
                </c:pt>
                <c:pt idx="4">
                  <c:v>0.96</c:v>
                </c:pt>
                <c:pt idx="5">
                  <c:v>0.97</c:v>
                </c:pt>
                <c:pt idx="6">
                  <c:v>0.96</c:v>
                </c:pt>
              </c:numCache>
            </c:numRef>
          </c:val>
        </c:ser>
        <c:ser>
          <c:idx val="2"/>
          <c:order val="2"/>
          <c:tx>
            <c:strRef>
              <c:f>'[职教中心2017年度调查表.xlsx]2.2'!$D$1</c:f>
              <c:strCache>
                <c:ptCount val="1"/>
                <c:pt idx="0">
                  <c:v>三年级</c:v>
                </c:pt>
              </c:strCache>
            </c:strRef>
          </c:tx>
          <c:spPr>
            <a:solidFill>
              <a:schemeClr val="accent3"/>
            </a:solidFill>
            <a:ln>
              <a:noFill/>
            </a:ln>
            <a:effectLst/>
          </c:spPr>
          <c:invertIfNegative val="0"/>
          <c:dLbls>
            <c:delete val="1"/>
          </c:dLbls>
          <c:cat>
            <c:strRef>
              <c:f>'[职教中心2017年度调查表.xlsx]2.2'!$A$2:$A$8</c:f>
              <c:strCache>
                <c:ptCount val="7"/>
                <c:pt idx="0">
                  <c:v>理论学习满意度</c:v>
                </c:pt>
                <c:pt idx="1">
                  <c:v>专业学习满意度</c:v>
                </c:pt>
                <c:pt idx="2">
                  <c:v>实习实训满意度</c:v>
                </c:pt>
                <c:pt idx="3">
                  <c:v>校园文化与社团活动满意度</c:v>
                </c:pt>
                <c:pt idx="4">
                  <c:v>生活满意度</c:v>
                </c:pt>
                <c:pt idx="5">
                  <c:v>校园安全满意度</c:v>
                </c:pt>
                <c:pt idx="6">
                  <c:v>毕业生对学校满意度</c:v>
                </c:pt>
              </c:strCache>
            </c:strRef>
          </c:cat>
          <c:val>
            <c:numRef>
              <c:f>'[职教中心2017年度调查表.xlsx]2.2'!$D$2:$D$8</c:f>
              <c:numCache>
                <c:formatCode>0%</c:formatCode>
                <c:ptCount val="7"/>
                <c:pt idx="0">
                  <c:v>0.97</c:v>
                </c:pt>
                <c:pt idx="1">
                  <c:v>0.97</c:v>
                </c:pt>
                <c:pt idx="2">
                  <c:v>0.99</c:v>
                </c:pt>
                <c:pt idx="3">
                  <c:v>0.98</c:v>
                </c:pt>
                <c:pt idx="4">
                  <c:v>0.97</c:v>
                </c:pt>
                <c:pt idx="5">
                  <c:v>0.99</c:v>
                </c:pt>
                <c:pt idx="6">
                  <c:v>0.99</c:v>
                </c:pt>
              </c:numCache>
            </c:numRef>
          </c:val>
        </c:ser>
        <c:dLbls>
          <c:showLegendKey val="0"/>
          <c:showVal val="0"/>
          <c:showCatName val="0"/>
          <c:showSerName val="0"/>
          <c:showPercent val="0"/>
          <c:showBubbleSize val="0"/>
        </c:dLbls>
        <c:gapWidth val="219"/>
        <c:overlap val="-27"/>
        <c:axId val="89957888"/>
        <c:axId val="89959424"/>
      </c:barChart>
      <c:catAx>
        <c:axId val="8995788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959424"/>
        <c:crosses val="autoZero"/>
        <c:auto val="1"/>
        <c:lblAlgn val="ctr"/>
        <c:lblOffset val="100"/>
        <c:noMultiLvlLbl val="0"/>
      </c:catAx>
      <c:valAx>
        <c:axId val="899594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95788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solidFill>
      <a:prstDash val="solid"/>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免学费和助学金落实情况 （万元）</a:t>
            </a:r>
          </a:p>
        </c:rich>
      </c:tx>
      <c:layout/>
      <c:overlay val="0"/>
      <c:spPr>
        <a:noFill/>
        <a:ln>
          <a:noFill/>
        </a:ln>
        <a:effectLst/>
      </c:spPr>
    </c:title>
    <c:autoTitleDeleted val="0"/>
    <c:plotArea>
      <c:layout/>
      <c:barChart>
        <c:barDir val="col"/>
        <c:grouping val="clustered"/>
        <c:varyColors val="0"/>
        <c:ser>
          <c:idx val="0"/>
          <c:order val="0"/>
          <c:tx>
            <c:strRef>
              <c:f>'[新建 XLS 工作表.xls]Sheet1'!$A$100</c:f>
              <c:strCache>
                <c:ptCount val="1"/>
                <c:pt idx="0">
                  <c:v>免学费拨款</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工作表.xls]Sheet1'!$B$99:$C$99</c:f>
              <c:strCache>
                <c:ptCount val="2"/>
                <c:pt idx="0">
                  <c:v>2017年</c:v>
                </c:pt>
                <c:pt idx="1">
                  <c:v>2018年</c:v>
                </c:pt>
              </c:strCache>
            </c:strRef>
          </c:cat>
          <c:val>
            <c:numRef>
              <c:f>'[新建 XLS 工作表.xls]Sheet1'!$B$100:$C$100</c:f>
              <c:numCache>
                <c:formatCode>General</c:formatCode>
                <c:ptCount val="2"/>
                <c:pt idx="0">
                  <c:v>272.24</c:v>
                </c:pt>
                <c:pt idx="1">
                  <c:v>293.12</c:v>
                </c:pt>
              </c:numCache>
            </c:numRef>
          </c:val>
        </c:ser>
        <c:ser>
          <c:idx val="1"/>
          <c:order val="1"/>
          <c:tx>
            <c:strRef>
              <c:f>'[新建 XLS 工作表.xls]Sheet1'!$A$101</c:f>
              <c:strCache>
                <c:ptCount val="1"/>
                <c:pt idx="0">
                  <c:v>助学金</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工作表.xls]Sheet1'!$B$99:$C$99</c:f>
              <c:strCache>
                <c:ptCount val="2"/>
                <c:pt idx="0">
                  <c:v>2017年</c:v>
                </c:pt>
                <c:pt idx="1">
                  <c:v>2018年</c:v>
                </c:pt>
              </c:strCache>
            </c:strRef>
          </c:cat>
          <c:val>
            <c:numRef>
              <c:f>'[新建 XLS 工作表.xls]Sheet1'!$B$101:$C$101</c:f>
              <c:numCache>
                <c:formatCode>General</c:formatCode>
                <c:ptCount val="2"/>
                <c:pt idx="0">
                  <c:v>62.6</c:v>
                </c:pt>
                <c:pt idx="1">
                  <c:v>78.5</c:v>
                </c:pt>
              </c:numCache>
            </c:numRef>
          </c:val>
        </c:ser>
        <c:dLbls>
          <c:showLegendKey val="0"/>
          <c:showVal val="1"/>
          <c:showCatName val="0"/>
          <c:showSerName val="0"/>
          <c:showPercent val="0"/>
          <c:showBubbleSize val="0"/>
        </c:dLbls>
        <c:gapWidth val="219"/>
        <c:overlap val="-27"/>
        <c:axId val="126790808"/>
        <c:axId val="943154331"/>
      </c:barChart>
      <c:catAx>
        <c:axId val="1267908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3154331"/>
        <c:crosses val="autoZero"/>
        <c:auto val="1"/>
        <c:lblAlgn val="ctr"/>
        <c:lblOffset val="100"/>
        <c:noMultiLvlLbl val="0"/>
      </c:catAx>
      <c:valAx>
        <c:axId val="9431543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679080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各专业就业人数（单位：人）</a:t>
            </a:r>
          </a:p>
        </c:rich>
      </c:tx>
      <c:layout/>
      <c:overlay val="0"/>
      <c:spPr>
        <a:noFill/>
        <a:ln>
          <a:noFill/>
        </a:ln>
        <a:effectLst/>
      </c:spPr>
    </c:title>
    <c:autoTitleDeleted val="0"/>
    <c:plotArea>
      <c:layout/>
      <c:barChart>
        <c:barDir val="col"/>
        <c:grouping val="clustered"/>
        <c:varyColors val="0"/>
        <c:ser>
          <c:idx val="0"/>
          <c:order val="0"/>
          <c:tx>
            <c:strRef>
              <c:f>'[新建 XLS 工作表.xls]Sheet1'!$B$103</c:f>
              <c:strCache>
                <c:ptCount val="1"/>
                <c:pt idx="0">
                  <c:v>毕业人数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工作表.xls]Sheet1'!$A$104:$A$109</c:f>
              <c:strCache>
                <c:ptCount val="6"/>
                <c:pt idx="0">
                  <c:v>农林</c:v>
                </c:pt>
                <c:pt idx="1">
                  <c:v>机电</c:v>
                </c:pt>
                <c:pt idx="2">
                  <c:v>计算机</c:v>
                </c:pt>
                <c:pt idx="3">
                  <c:v>财会</c:v>
                </c:pt>
                <c:pt idx="4">
                  <c:v>旅游服务</c:v>
                </c:pt>
                <c:pt idx="5">
                  <c:v>电子技术应用</c:v>
                </c:pt>
              </c:strCache>
            </c:strRef>
          </c:cat>
          <c:val>
            <c:numRef>
              <c:f>'[新建 XLS 工作表.xls]Sheet1'!$B$104:$B$109</c:f>
              <c:numCache>
                <c:formatCode>General</c:formatCode>
                <c:ptCount val="6"/>
                <c:pt idx="0">
                  <c:v>99</c:v>
                </c:pt>
                <c:pt idx="1">
                  <c:v>105</c:v>
                </c:pt>
                <c:pt idx="2">
                  <c:v>131</c:v>
                </c:pt>
                <c:pt idx="3">
                  <c:v>139</c:v>
                </c:pt>
                <c:pt idx="4">
                  <c:v>24</c:v>
                </c:pt>
                <c:pt idx="5">
                  <c:v>88</c:v>
                </c:pt>
              </c:numCache>
            </c:numRef>
          </c:val>
        </c:ser>
        <c:ser>
          <c:idx val="1"/>
          <c:order val="1"/>
          <c:tx>
            <c:strRef>
              <c:f>'[新建 XLS 工作表.xls]Sheet1'!$C$103</c:f>
              <c:strCache>
                <c:ptCount val="1"/>
                <c:pt idx="0">
                  <c:v>就业人数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工作表.xls]Sheet1'!$A$104:$A$109</c:f>
              <c:strCache>
                <c:ptCount val="6"/>
                <c:pt idx="0">
                  <c:v>农林</c:v>
                </c:pt>
                <c:pt idx="1">
                  <c:v>机电</c:v>
                </c:pt>
                <c:pt idx="2">
                  <c:v>计算机</c:v>
                </c:pt>
                <c:pt idx="3">
                  <c:v>财会</c:v>
                </c:pt>
                <c:pt idx="4">
                  <c:v>旅游服务</c:v>
                </c:pt>
                <c:pt idx="5">
                  <c:v>电子技术应用</c:v>
                </c:pt>
              </c:strCache>
            </c:strRef>
          </c:cat>
          <c:val>
            <c:numRef>
              <c:f>'[新建 XLS 工作表.xls]Sheet1'!$C$104:$C$109</c:f>
              <c:numCache>
                <c:formatCode>General</c:formatCode>
                <c:ptCount val="6"/>
                <c:pt idx="0">
                  <c:v>99</c:v>
                </c:pt>
                <c:pt idx="1">
                  <c:v>105</c:v>
                </c:pt>
                <c:pt idx="2">
                  <c:v>131</c:v>
                </c:pt>
                <c:pt idx="3">
                  <c:v>138</c:v>
                </c:pt>
                <c:pt idx="4">
                  <c:v>24</c:v>
                </c:pt>
                <c:pt idx="5">
                  <c:v>80</c:v>
                </c:pt>
              </c:numCache>
            </c:numRef>
          </c:val>
        </c:ser>
        <c:ser>
          <c:idx val="2"/>
          <c:order val="2"/>
          <c:tx>
            <c:strRef>
              <c:f>'[新建 XLS 工作表.xls]Sheet1'!$D$103</c:f>
              <c:strCache>
                <c:ptCount val="1"/>
                <c:pt idx="0">
                  <c:v>对口就业</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工作表.xls]Sheet1'!$A$104:$A$109</c:f>
              <c:strCache>
                <c:ptCount val="6"/>
                <c:pt idx="0">
                  <c:v>农林</c:v>
                </c:pt>
                <c:pt idx="1">
                  <c:v>机电</c:v>
                </c:pt>
                <c:pt idx="2">
                  <c:v>计算机</c:v>
                </c:pt>
                <c:pt idx="3">
                  <c:v>财会</c:v>
                </c:pt>
                <c:pt idx="4">
                  <c:v>旅游服务</c:v>
                </c:pt>
                <c:pt idx="5">
                  <c:v>电子技术应用</c:v>
                </c:pt>
              </c:strCache>
            </c:strRef>
          </c:cat>
          <c:val>
            <c:numRef>
              <c:f>'[新建 XLS 工作表.xls]Sheet1'!$D$104:$D$109</c:f>
              <c:numCache>
                <c:formatCode>General</c:formatCode>
                <c:ptCount val="6"/>
                <c:pt idx="0">
                  <c:v>98</c:v>
                </c:pt>
                <c:pt idx="1">
                  <c:v>100</c:v>
                </c:pt>
                <c:pt idx="2">
                  <c:v>94</c:v>
                </c:pt>
                <c:pt idx="3">
                  <c:v>120</c:v>
                </c:pt>
                <c:pt idx="4">
                  <c:v>18</c:v>
                </c:pt>
                <c:pt idx="5">
                  <c:v>45</c:v>
                </c:pt>
              </c:numCache>
            </c:numRef>
          </c:val>
        </c:ser>
        <c:dLbls>
          <c:showLegendKey val="0"/>
          <c:showVal val="1"/>
          <c:showCatName val="0"/>
          <c:showSerName val="0"/>
          <c:showPercent val="0"/>
          <c:showBubbleSize val="0"/>
        </c:dLbls>
        <c:gapWidth val="219"/>
        <c:overlap val="-27"/>
        <c:axId val="331189809"/>
        <c:axId val="433701830"/>
      </c:barChart>
      <c:catAx>
        <c:axId val="33118980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3701830"/>
        <c:crosses val="autoZero"/>
        <c:auto val="1"/>
        <c:lblAlgn val="ctr"/>
        <c:lblOffset val="100"/>
        <c:noMultiLvlLbl val="0"/>
      </c:catAx>
      <c:valAx>
        <c:axId val="43370183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118980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各专业就业率、对口就业率</a:t>
            </a:r>
          </a:p>
        </c:rich>
      </c:tx>
      <c:layout/>
      <c:overlay val="0"/>
      <c:spPr>
        <a:noFill/>
        <a:ln>
          <a:noFill/>
        </a:ln>
        <a:effectLst/>
      </c:spPr>
    </c:title>
    <c:autoTitleDeleted val="0"/>
    <c:plotArea>
      <c:layout/>
      <c:barChart>
        <c:barDir val="col"/>
        <c:grouping val="clustered"/>
        <c:varyColors val="0"/>
        <c:ser>
          <c:idx val="0"/>
          <c:order val="0"/>
          <c:tx>
            <c:strRef>
              <c:f>'[新建 XLS 工作表.xls]Sheet1'!$B$111</c:f>
              <c:strCache>
                <c:ptCount val="1"/>
                <c:pt idx="0">
                  <c:v>就业率</c:v>
                </c:pt>
              </c:strCache>
            </c:strRef>
          </c:tx>
          <c:spPr>
            <a:solidFill>
              <a:schemeClr val="accent1"/>
            </a:solidFill>
            <a:ln>
              <a:noFill/>
            </a:ln>
            <a:effectLst/>
          </c:spPr>
          <c:invertIfNegative val="0"/>
          <c:dLbls>
            <c:delete val="1"/>
          </c:dLbls>
          <c:cat>
            <c:strRef>
              <c:f>'[新建 XLS 工作表.xls]Sheet1'!$A$112:$A$117</c:f>
              <c:strCache>
                <c:ptCount val="6"/>
                <c:pt idx="0">
                  <c:v>农林</c:v>
                </c:pt>
                <c:pt idx="1">
                  <c:v>机电</c:v>
                </c:pt>
                <c:pt idx="2">
                  <c:v>计算机</c:v>
                </c:pt>
                <c:pt idx="3">
                  <c:v>财会</c:v>
                </c:pt>
                <c:pt idx="4">
                  <c:v>旅游服务</c:v>
                </c:pt>
                <c:pt idx="5">
                  <c:v>电子技术应用</c:v>
                </c:pt>
              </c:strCache>
            </c:strRef>
          </c:cat>
          <c:val>
            <c:numRef>
              <c:f>'[新建 XLS 工作表.xls]Sheet1'!$B$112:$B$117</c:f>
              <c:numCache>
                <c:formatCode>0%</c:formatCode>
                <c:ptCount val="6"/>
                <c:pt idx="0">
                  <c:v>1</c:v>
                </c:pt>
                <c:pt idx="1">
                  <c:v>1</c:v>
                </c:pt>
                <c:pt idx="2">
                  <c:v>1</c:v>
                </c:pt>
                <c:pt idx="3" c:formatCode="0.00%">
                  <c:v>0.9928</c:v>
                </c:pt>
                <c:pt idx="4">
                  <c:v>1</c:v>
                </c:pt>
                <c:pt idx="5" c:formatCode="0.00%">
                  <c:v>0.909</c:v>
                </c:pt>
              </c:numCache>
            </c:numRef>
          </c:val>
        </c:ser>
        <c:ser>
          <c:idx val="1"/>
          <c:order val="1"/>
          <c:tx>
            <c:strRef>
              <c:f>'[新建 XLS 工作表.xls]Sheet1'!$C$111</c:f>
              <c:strCache>
                <c:ptCount val="1"/>
                <c:pt idx="0">
                  <c:v>对口就业率</c:v>
                </c:pt>
              </c:strCache>
            </c:strRef>
          </c:tx>
          <c:spPr>
            <a:solidFill>
              <a:schemeClr val="accent2"/>
            </a:solidFill>
            <a:ln>
              <a:noFill/>
            </a:ln>
            <a:effectLst/>
          </c:spPr>
          <c:invertIfNegative val="0"/>
          <c:dLbls>
            <c:delete val="1"/>
          </c:dLbls>
          <c:cat>
            <c:strRef>
              <c:f>'[新建 XLS 工作表.xls]Sheet1'!$A$112:$A$117</c:f>
              <c:strCache>
                <c:ptCount val="6"/>
                <c:pt idx="0">
                  <c:v>农林</c:v>
                </c:pt>
                <c:pt idx="1">
                  <c:v>机电</c:v>
                </c:pt>
                <c:pt idx="2">
                  <c:v>计算机</c:v>
                </c:pt>
                <c:pt idx="3">
                  <c:v>财会</c:v>
                </c:pt>
                <c:pt idx="4">
                  <c:v>旅游服务</c:v>
                </c:pt>
                <c:pt idx="5">
                  <c:v>电子技术应用</c:v>
                </c:pt>
              </c:strCache>
            </c:strRef>
          </c:cat>
          <c:val>
            <c:numRef>
              <c:f>'[新建 XLS 工作表.xls]Sheet1'!$C$112:$C$117</c:f>
              <c:numCache>
                <c:formatCode>0.00%</c:formatCode>
                <c:ptCount val="6"/>
                <c:pt idx="0">
                  <c:v>0.9899</c:v>
                </c:pt>
                <c:pt idx="1">
                  <c:v>0.9524</c:v>
                </c:pt>
                <c:pt idx="2">
                  <c:v>0.7176</c:v>
                </c:pt>
                <c:pt idx="3">
                  <c:v>0.8633</c:v>
                </c:pt>
                <c:pt idx="4">
                  <c:v>0.75</c:v>
                </c:pt>
                <c:pt idx="5">
                  <c:v>0.5114</c:v>
                </c:pt>
              </c:numCache>
            </c:numRef>
          </c:val>
        </c:ser>
        <c:dLbls>
          <c:showLegendKey val="0"/>
          <c:showVal val="0"/>
          <c:showCatName val="0"/>
          <c:showSerName val="0"/>
          <c:showPercent val="0"/>
          <c:showBubbleSize val="0"/>
        </c:dLbls>
        <c:gapWidth val="219"/>
        <c:overlap val="-27"/>
        <c:axId val="612437826"/>
        <c:axId val="48719381"/>
      </c:barChart>
      <c:catAx>
        <c:axId val="61243782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719381"/>
        <c:crosses val="autoZero"/>
        <c:auto val="1"/>
        <c:lblAlgn val="ctr"/>
        <c:lblOffset val="100"/>
        <c:noMultiLvlLbl val="0"/>
      </c:catAx>
      <c:valAx>
        <c:axId val="4871938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243782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"2017"</c:f>
              <c:strCache>
                <c:ptCount val="1"/>
                <c:pt idx="0">
                  <c:v>2017</c:v>
                </c:pt>
              </c:strCache>
            </c:strRef>
          </c:tx>
          <c:invertIfNegative val="0"/>
          <c:dLbls>
            <c:delete val="1"/>
          </c:dLbls>
          <c:cat>
            <c:strRef>
              <c:f>'[17－18外出培训人数变化情况表.xlsx]Sheet1'!$B$2:$E$2</c:f>
              <c:strCache>
                <c:ptCount val="4"/>
                <c:pt idx="0">
                  <c:v>县级培训</c:v>
                </c:pt>
                <c:pt idx="1">
                  <c:v>市级培训</c:v>
                </c:pt>
                <c:pt idx="2">
                  <c:v>省级培训</c:v>
                </c:pt>
                <c:pt idx="3">
                  <c:v>国家级培训</c:v>
                </c:pt>
              </c:strCache>
            </c:strRef>
          </c:cat>
          <c:val>
            <c:numRef>
              <c:f>'[17－18外出培训人数变化情况表.xlsx]Sheet1'!$B$3:$E$3</c:f>
              <c:numCache>
                <c:formatCode>General</c:formatCode>
                <c:ptCount val="4"/>
                <c:pt idx="0">
                  <c:v>0</c:v>
                </c:pt>
                <c:pt idx="1">
                  <c:v>5</c:v>
                </c:pt>
                <c:pt idx="2">
                  <c:v>45</c:v>
                </c:pt>
                <c:pt idx="3">
                  <c:v>0</c:v>
                </c:pt>
              </c:numCache>
            </c:numRef>
          </c:val>
        </c:ser>
        <c:ser>
          <c:idx val="1"/>
          <c:order val="1"/>
          <c:tx>
            <c:strRef>
              <c:f>"2018"</c:f>
              <c:strCache>
                <c:ptCount val="1"/>
                <c:pt idx="0">
                  <c:v>2018</c:v>
                </c:pt>
              </c:strCache>
            </c:strRef>
          </c:tx>
          <c:invertIfNegative val="0"/>
          <c:dLbls>
            <c:delete val="1"/>
          </c:dLbls>
          <c:cat>
            <c:strRef>
              <c:f>'[17－18外出培训人数变化情况表.xlsx]Sheet1'!$B$2:$E$2</c:f>
              <c:strCache>
                <c:ptCount val="4"/>
                <c:pt idx="0">
                  <c:v>县级培训</c:v>
                </c:pt>
                <c:pt idx="1">
                  <c:v>市级培训</c:v>
                </c:pt>
                <c:pt idx="2">
                  <c:v>省级培训</c:v>
                </c:pt>
                <c:pt idx="3">
                  <c:v>国家级培训</c:v>
                </c:pt>
              </c:strCache>
            </c:strRef>
          </c:cat>
          <c:val>
            <c:numRef>
              <c:f>'[17－18外出培训人数变化情况表.xlsx]Sheet1'!$B$4:$E$4</c:f>
              <c:numCache>
                <c:formatCode>General</c:formatCode>
                <c:ptCount val="4"/>
                <c:pt idx="0">
                  <c:v>1</c:v>
                </c:pt>
                <c:pt idx="1">
                  <c:v>0</c:v>
                </c:pt>
                <c:pt idx="2">
                  <c:v>7</c:v>
                </c:pt>
                <c:pt idx="3">
                  <c:v>4</c:v>
                </c:pt>
              </c:numCache>
            </c:numRef>
          </c:val>
        </c:ser>
        <c:dLbls>
          <c:showLegendKey val="0"/>
          <c:showVal val="0"/>
          <c:showCatName val="0"/>
          <c:showSerName val="0"/>
          <c:showPercent val="0"/>
          <c:showBubbleSize val="0"/>
        </c:dLbls>
        <c:gapWidth val="150"/>
        <c:axId val="99404416"/>
        <c:axId val="150737664"/>
      </c:barChart>
      <c:catAx>
        <c:axId val="9940441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0737664"/>
        <c:crosses val="autoZero"/>
        <c:auto val="1"/>
        <c:lblAlgn val="ctr"/>
        <c:lblOffset val="100"/>
        <c:noMultiLvlLbl val="0"/>
      </c:catAx>
      <c:valAx>
        <c:axId val="15073766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940441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社会人员培训情况分布图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工作表.xls]Sheet1'!$B$190:$B$197</c:f>
              <c:strCache>
                <c:ptCount val="8"/>
                <c:pt idx="0">
                  <c:v>新员工入职培训</c:v>
                </c:pt>
                <c:pt idx="1">
                  <c:v>员工岗位职责及行为规范</c:v>
                </c:pt>
                <c:pt idx="2">
                  <c:v>收银员及客服业务</c:v>
                </c:pt>
                <c:pt idx="3">
                  <c:v>业务培训考试</c:v>
                </c:pt>
                <c:pt idx="4">
                  <c:v>道路危险货物运输安全培训</c:v>
                </c:pt>
                <c:pt idx="5">
                  <c:v>广联达软件公司云计量交底培训</c:v>
                </c:pt>
                <c:pt idx="6">
                  <c:v>县残联农业技术培训</c:v>
                </c:pt>
                <c:pt idx="7">
                  <c:v>满娘手工刺绣技能</c:v>
                </c:pt>
              </c:strCache>
            </c:strRef>
          </c:cat>
          <c:val>
            <c:numRef>
              <c:f>'[新建 XLS 工作表.xls]Sheet1'!$C$190:$C$197</c:f>
              <c:numCache>
                <c:formatCode>General</c:formatCode>
                <c:ptCount val="8"/>
                <c:pt idx="0">
                  <c:v>485</c:v>
                </c:pt>
                <c:pt idx="1">
                  <c:v>442</c:v>
                </c:pt>
                <c:pt idx="2">
                  <c:v>443</c:v>
                </c:pt>
                <c:pt idx="3">
                  <c:v>455</c:v>
                </c:pt>
                <c:pt idx="4">
                  <c:v>106</c:v>
                </c:pt>
                <c:pt idx="5">
                  <c:v>33</c:v>
                </c:pt>
                <c:pt idx="6">
                  <c:v>546</c:v>
                </c:pt>
                <c:pt idx="7">
                  <c:v>1320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技术服务</a:t>
            </a:r>
          </a:p>
        </c:rich>
      </c:tx>
      <c:layout/>
      <c:overlay val="0"/>
      <c:spPr>
        <a:noFill/>
        <a:ln>
          <a:noFill/>
        </a:ln>
        <a:effectLst/>
      </c:spPr>
    </c:title>
    <c:autoTitleDeleted val="0"/>
    <c:plotArea>
      <c:layout/>
      <c:barChart>
        <c:barDir val="col"/>
        <c:grouping val="clustered"/>
        <c:varyColors val="0"/>
        <c:ser>
          <c:idx val="0"/>
          <c:order val="0"/>
          <c:tx>
            <c:strRef>
              <c:f>'[新建 XLS 工作表.xls]Sheet1'!$B$120</c:f>
              <c:strCache>
                <c:ptCount val="1"/>
                <c:pt idx="0">
                  <c:v>2017年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工作表.xls]Sheet1'!$C$119:$H$119</c:f>
              <c:strCache>
                <c:ptCount val="6"/>
                <c:pt idx="0">
                  <c:v>满娘刺绣术</c:v>
                </c:pt>
                <c:pt idx="1">
                  <c:v>果树生产技术</c:v>
                </c:pt>
                <c:pt idx="2">
                  <c:v>药材种植技术</c:v>
                </c:pt>
                <c:pt idx="3">
                  <c:v>板栗栽培技术</c:v>
                </c:pt>
                <c:pt idx="4">
                  <c:v>养蜂技术</c:v>
                </c:pt>
                <c:pt idx="5">
                  <c:v>合计</c:v>
                </c:pt>
              </c:strCache>
            </c:strRef>
          </c:cat>
          <c:val>
            <c:numRef>
              <c:f>'[新建 XLS 工作表.xls]Sheet1'!$C$120:$H$120</c:f>
              <c:numCache>
                <c:formatCode>General</c:formatCode>
                <c:ptCount val="6"/>
                <c:pt idx="0">
                  <c:v>0</c:v>
                </c:pt>
                <c:pt idx="1">
                  <c:v>194</c:v>
                </c:pt>
                <c:pt idx="2">
                  <c:v>96</c:v>
                </c:pt>
                <c:pt idx="3">
                  <c:v>127</c:v>
                </c:pt>
                <c:pt idx="4">
                  <c:v>61</c:v>
                </c:pt>
                <c:pt idx="5">
                  <c:v>478</c:v>
                </c:pt>
              </c:numCache>
            </c:numRef>
          </c:val>
        </c:ser>
        <c:ser>
          <c:idx val="1"/>
          <c:order val="1"/>
          <c:tx>
            <c:strRef>
              <c:f>'[新建 XLS 工作表.xls]Sheet1'!$B$121</c:f>
              <c:strCache>
                <c:ptCount val="1"/>
                <c:pt idx="0">
                  <c:v>2018年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工作表.xls]Sheet1'!$C$119:$H$119</c:f>
              <c:strCache>
                <c:ptCount val="6"/>
                <c:pt idx="0">
                  <c:v>满娘刺绣术</c:v>
                </c:pt>
                <c:pt idx="1">
                  <c:v>果树生产技术</c:v>
                </c:pt>
                <c:pt idx="2">
                  <c:v>药材种植技术</c:v>
                </c:pt>
                <c:pt idx="3">
                  <c:v>板栗栽培技术</c:v>
                </c:pt>
                <c:pt idx="4">
                  <c:v>养蜂技术</c:v>
                </c:pt>
                <c:pt idx="5">
                  <c:v>合计</c:v>
                </c:pt>
              </c:strCache>
            </c:strRef>
          </c:cat>
          <c:val>
            <c:numRef>
              <c:f>'[新建 XLS 工作表.xls]Sheet1'!$C$121:$H$121</c:f>
              <c:numCache>
                <c:formatCode>General</c:formatCode>
                <c:ptCount val="6"/>
                <c:pt idx="0">
                  <c:v>54</c:v>
                </c:pt>
                <c:pt idx="1">
                  <c:v>167</c:v>
                </c:pt>
                <c:pt idx="2">
                  <c:v>0</c:v>
                </c:pt>
                <c:pt idx="3">
                  <c:v>50</c:v>
                </c:pt>
                <c:pt idx="4">
                  <c:v>0</c:v>
                </c:pt>
                <c:pt idx="5">
                  <c:v>271</c:v>
                </c:pt>
              </c:numCache>
            </c:numRef>
          </c:val>
        </c:ser>
        <c:dLbls>
          <c:showLegendKey val="0"/>
          <c:showVal val="1"/>
          <c:showCatName val="0"/>
          <c:showSerName val="0"/>
          <c:showPercent val="0"/>
          <c:showBubbleSize val="0"/>
        </c:dLbls>
        <c:gapWidth val="219"/>
        <c:overlap val="-27"/>
        <c:axId val="148697964"/>
        <c:axId val="360123425"/>
      </c:barChart>
      <c:catAx>
        <c:axId val="1486979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0123425"/>
        <c:crosses val="autoZero"/>
        <c:auto val="1"/>
        <c:lblAlgn val="ctr"/>
        <c:lblOffset val="100"/>
        <c:noMultiLvlLbl val="0"/>
      </c:catAx>
      <c:valAx>
        <c:axId val="36012342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869796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在校生统计表（单位：人）</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tx>
            <c:strRef>
              <c:f>'[新建 XLS 工作表.xls]Sheet1'!$B$13:$B$14</c:f>
              <c:strCache>
                <c:ptCount val="1"/>
                <c:pt idx="0">
                  <c:v>2017年度在校生人数</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'[新建 XLS 工作表.xls]Sheet1'!$A$15:$A$19</c:f>
              <c:strCache>
                <c:ptCount val="5"/>
                <c:pt idx="0">
                  <c:v>15级</c:v>
                </c:pt>
                <c:pt idx="1">
                  <c:v>16级</c:v>
                </c:pt>
                <c:pt idx="2">
                  <c:v>17级</c:v>
                </c:pt>
                <c:pt idx="3">
                  <c:v>18级</c:v>
                </c:pt>
                <c:pt idx="4">
                  <c:v>合计</c:v>
                </c:pt>
              </c:strCache>
            </c:strRef>
          </c:cat>
          <c:val>
            <c:numRef>
              <c:f>'[新建 XLS 工作表.xls]Sheet1'!$B$15:$B$19</c:f>
              <c:numCache>
                <c:formatCode>General</c:formatCode>
                <c:ptCount val="5"/>
                <c:pt idx="0">
                  <c:v>856</c:v>
                </c:pt>
                <c:pt idx="1">
                  <c:v>652</c:v>
                </c:pt>
                <c:pt idx="2">
                  <c:v>756</c:v>
                </c:pt>
                <c:pt idx="4">
                  <c:v>2264</c:v>
                </c:pt>
              </c:numCache>
            </c:numRef>
          </c:val>
        </c:ser>
        <c:ser>
          <c:idx val="1"/>
          <c:order val="1"/>
          <c:tx>
            <c:strRef>
              <c:f>'[新建 XLS 工作表.xls]Sheet1'!$C$13:$C$14</c:f>
              <c:strCache>
                <c:ptCount val="1"/>
                <c:pt idx="0">
                  <c:v>2017年度在校生人数</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'[新建 XLS 工作表.xls]Sheet1'!$A$15:$A$19</c:f>
              <c:strCache>
                <c:ptCount val="5"/>
                <c:pt idx="0">
                  <c:v>15级</c:v>
                </c:pt>
                <c:pt idx="1">
                  <c:v>16级</c:v>
                </c:pt>
                <c:pt idx="2">
                  <c:v>17级</c:v>
                </c:pt>
                <c:pt idx="3">
                  <c:v>18级</c:v>
                </c:pt>
                <c:pt idx="4">
                  <c:v>合计</c:v>
                </c:pt>
              </c:strCache>
            </c:strRef>
          </c:cat>
          <c:val>
            <c:numRef>
              <c:f>'[新建 XLS 工作表.xls]Sheet1'!$C$15:$C$19</c:f>
              <c:numCache>
                <c:formatCode>General</c:formatCode>
                <c:ptCount val="5"/>
              </c:numCache>
            </c:numRef>
          </c:val>
        </c:ser>
        <c:ser>
          <c:idx val="2"/>
          <c:order val="2"/>
          <c:tx>
            <c:strRef>
              <c:f>'[新建 XLS 工作表.xls]Sheet1'!$D$13:$D$14</c:f>
              <c:strCache>
                <c:ptCount val="1"/>
                <c:pt idx="0">
                  <c:v>2018年度在校生人数</c:v>
                </c:pt>
              </c:strCache>
            </c:strRef>
          </c:tx>
          <c:spPr>
            <a:solidFill>
              <a:schemeClr val="accent3"/>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'[新建 XLS 工作表.xls]Sheet1'!$A$15:$A$19</c:f>
              <c:strCache>
                <c:ptCount val="5"/>
                <c:pt idx="0">
                  <c:v>15级</c:v>
                </c:pt>
                <c:pt idx="1">
                  <c:v>16级</c:v>
                </c:pt>
                <c:pt idx="2">
                  <c:v>17级</c:v>
                </c:pt>
                <c:pt idx="3">
                  <c:v>18级</c:v>
                </c:pt>
                <c:pt idx="4">
                  <c:v>合计</c:v>
                </c:pt>
              </c:strCache>
            </c:strRef>
          </c:cat>
          <c:val>
            <c:numRef>
              <c:f>'[新建 XLS 工作表.xls]Sheet1'!$D$15:$D$19</c:f>
              <c:numCache>
                <c:formatCode>General</c:formatCode>
                <c:ptCount val="5"/>
                <c:pt idx="1">
                  <c:v>598</c:v>
                </c:pt>
                <c:pt idx="2">
                  <c:v>697</c:v>
                </c:pt>
                <c:pt idx="3">
                  <c:v>824</c:v>
                </c:pt>
                <c:pt idx="4">
                  <c:v>2119</c:v>
                </c:pt>
              </c:numCache>
            </c:numRef>
          </c:val>
        </c:ser>
        <c:ser>
          <c:idx val="3"/>
          <c:order val="3"/>
          <c:tx>
            <c:strRef>
              <c:f>'[新建 XLS 工作表.xls]Sheet1'!$G$13:$G$14</c:f>
              <c:strCache>
                <c:ptCount val="1"/>
                <c:pt idx="0">
                  <c:v>2018年度在校生人数</c:v>
                </c:pt>
              </c:strCache>
            </c:strRef>
          </c:tx>
          <c:spPr>
            <a:solidFill>
              <a:schemeClr val="accent4"/>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'[新建 XLS 工作表.xls]Sheet1'!$A$15:$A$19</c:f>
              <c:strCache>
                <c:ptCount val="5"/>
                <c:pt idx="0">
                  <c:v>15级</c:v>
                </c:pt>
                <c:pt idx="1">
                  <c:v>16级</c:v>
                </c:pt>
                <c:pt idx="2">
                  <c:v>17级</c:v>
                </c:pt>
                <c:pt idx="3">
                  <c:v>18级</c:v>
                </c:pt>
                <c:pt idx="4">
                  <c:v>合计</c:v>
                </c:pt>
              </c:strCache>
            </c:strRef>
          </c:cat>
          <c:val>
            <c:numRef>
              <c:f>'[新建 XLS 工作表.xls]Sheet1'!$G$15:$G$19</c:f>
              <c:numCache>
                <c:formatCode>General</c:formatCode>
                <c:ptCount val="5"/>
              </c:numCache>
            </c:numRef>
          </c:val>
        </c:ser>
        <c:dLbls>
          <c:showLegendKey val="0"/>
          <c:showVal val="0"/>
          <c:showCatName val="0"/>
          <c:showSerName val="0"/>
          <c:showPercent val="0"/>
          <c:showBubbleSize val="0"/>
        </c:dLbls>
        <c:gapWidth val="219"/>
        <c:overlap val="-27"/>
        <c:axId val="575047542"/>
        <c:axId val="41615468"/>
      </c:barChart>
      <c:catAx>
        <c:axId val="57504754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615468"/>
        <c:crosses val="autoZero"/>
        <c:auto val="1"/>
        <c:lblAlgn val="ctr"/>
        <c:lblOffset val="100"/>
        <c:noMultiLvlLbl val="0"/>
      </c:catAx>
      <c:valAx>
        <c:axId val="4161546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5047542"/>
        <c:crosses val="autoZero"/>
        <c:crossBetween val="between"/>
      </c:valAx>
      <c:spPr>
        <a:noFill/>
        <a:ln>
          <a:noFill/>
        </a:ln>
        <a:effectLst/>
      </c:spPr>
    </c:plotArea>
    <c:legend>
      <c:legendPos val="b"/>
      <c:legendEntry>
        <c:idx val="1"/>
        <c:delete val="1"/>
      </c:legendEntry>
      <c:legendEntry>
        <c:idx val="3"/>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经费落实情况（单位：万元）</a:t>
            </a:r>
          </a:p>
        </c:rich>
      </c:tx>
      <c:layout/>
      <c:overlay val="0"/>
      <c:spPr>
        <a:noFill/>
        <a:ln>
          <a:noFill/>
        </a:ln>
        <a:effectLst/>
      </c:spPr>
    </c:title>
    <c:autoTitleDeleted val="0"/>
    <c:plotArea>
      <c:layout/>
      <c:barChart>
        <c:barDir val="col"/>
        <c:grouping val="clustered"/>
        <c:varyColors val="0"/>
        <c:ser>
          <c:idx val="0"/>
          <c:order val="0"/>
          <c:tx>
            <c:strRef>
              <c:f>'[新建 XLS 工作表.xls]Sheet1'!$C$128</c:f>
              <c:strCache>
                <c:ptCount val="1"/>
                <c:pt idx="0">
                  <c:v>2017年</c:v>
                </c:pt>
              </c:strCache>
            </c:strRef>
          </c:tx>
          <c:spPr>
            <a:solidFill>
              <a:schemeClr val="accent1"/>
            </a:solidFill>
            <a:ln>
              <a:noFill/>
            </a:ln>
            <a:effectLst/>
          </c:spPr>
          <c:invertIfNegative val="0"/>
          <c:dLbls>
            <c:delete val="1"/>
          </c:dLbls>
          <c:cat>
            <c:strRef>
              <c:f>'[新建 XLS 工作表.xls]Sheet1'!$B$129:$B$136</c:f>
              <c:strCache>
                <c:ptCount val="8"/>
                <c:pt idx="0">
                  <c:v>免学费</c:v>
                </c:pt>
                <c:pt idx="1">
                  <c:v>助学金</c:v>
                </c:pt>
                <c:pt idx="2">
                  <c:v>建档立卡</c:v>
                </c:pt>
                <c:pt idx="3">
                  <c:v>生均拨款</c:v>
                </c:pt>
                <c:pt idx="4">
                  <c:v>质量提升</c:v>
                </c:pt>
                <c:pt idx="5">
                  <c:v>新型农民</c:v>
                </c:pt>
                <c:pt idx="6">
                  <c:v>控编运行</c:v>
                </c:pt>
                <c:pt idx="7">
                  <c:v>合计</c:v>
                </c:pt>
              </c:strCache>
            </c:strRef>
          </c:cat>
          <c:val>
            <c:numRef>
              <c:f>'[新建 XLS 工作表.xls]Sheet1'!$C$129:$C$136</c:f>
              <c:numCache>
                <c:formatCode>General</c:formatCode>
                <c:ptCount val="8"/>
                <c:pt idx="0">
                  <c:v>272.24</c:v>
                </c:pt>
                <c:pt idx="1">
                  <c:v>62.6</c:v>
                </c:pt>
                <c:pt idx="2">
                  <c:v>16.32</c:v>
                </c:pt>
                <c:pt idx="3">
                  <c:v>62</c:v>
                </c:pt>
                <c:pt idx="4">
                  <c:v>217.5</c:v>
                </c:pt>
                <c:pt idx="5">
                  <c:v>50</c:v>
                </c:pt>
                <c:pt idx="6">
                  <c:v>50</c:v>
                </c:pt>
                <c:pt idx="7">
                  <c:v>730.66</c:v>
                </c:pt>
              </c:numCache>
            </c:numRef>
          </c:val>
        </c:ser>
        <c:ser>
          <c:idx val="1"/>
          <c:order val="1"/>
          <c:tx>
            <c:strRef>
              <c:f>'[新建 XLS 工作表.xls]Sheet1'!$D$128</c:f>
              <c:strCache>
                <c:ptCount val="1"/>
                <c:pt idx="0">
                  <c:v>2018年</c:v>
                </c:pt>
              </c:strCache>
            </c:strRef>
          </c:tx>
          <c:spPr>
            <a:solidFill>
              <a:schemeClr val="accent2"/>
            </a:solidFill>
            <a:ln>
              <a:noFill/>
            </a:ln>
            <a:effectLst/>
          </c:spPr>
          <c:invertIfNegative val="0"/>
          <c:dLbls>
            <c:delete val="1"/>
          </c:dLbls>
          <c:cat>
            <c:strRef>
              <c:f>'[新建 XLS 工作表.xls]Sheet1'!$B$129:$B$136</c:f>
              <c:strCache>
                <c:ptCount val="8"/>
                <c:pt idx="0">
                  <c:v>免学费</c:v>
                </c:pt>
                <c:pt idx="1">
                  <c:v>助学金</c:v>
                </c:pt>
                <c:pt idx="2">
                  <c:v>建档立卡</c:v>
                </c:pt>
                <c:pt idx="3">
                  <c:v>生均拨款</c:v>
                </c:pt>
                <c:pt idx="4">
                  <c:v>质量提升</c:v>
                </c:pt>
                <c:pt idx="5">
                  <c:v>新型农民</c:v>
                </c:pt>
                <c:pt idx="6">
                  <c:v>控编运行</c:v>
                </c:pt>
                <c:pt idx="7">
                  <c:v>合计</c:v>
                </c:pt>
              </c:strCache>
            </c:strRef>
          </c:cat>
          <c:val>
            <c:numRef>
              <c:f>'[新建 XLS 工作表.xls]Sheet1'!$D$129:$D$136</c:f>
              <c:numCache>
                <c:formatCode>General</c:formatCode>
                <c:ptCount val="8"/>
                <c:pt idx="0">
                  <c:v>293.12</c:v>
                </c:pt>
                <c:pt idx="1">
                  <c:v>79.5</c:v>
                </c:pt>
                <c:pt idx="2">
                  <c:v>32.12</c:v>
                </c:pt>
                <c:pt idx="3">
                  <c:v>200</c:v>
                </c:pt>
                <c:pt idx="4">
                  <c:v>225</c:v>
                </c:pt>
                <c:pt idx="5">
                  <c:v>50</c:v>
                </c:pt>
                <c:pt idx="6">
                  <c:v>50</c:v>
                </c:pt>
                <c:pt idx="7">
                  <c:v>929.74</c:v>
                </c:pt>
              </c:numCache>
            </c:numRef>
          </c:val>
        </c:ser>
        <c:dLbls>
          <c:showLegendKey val="0"/>
          <c:showVal val="0"/>
          <c:showCatName val="0"/>
          <c:showSerName val="0"/>
          <c:showPercent val="0"/>
          <c:showBubbleSize val="0"/>
        </c:dLbls>
        <c:gapWidth val="219"/>
        <c:overlap val="-27"/>
        <c:axId val="815280476"/>
        <c:axId val="851580855"/>
      </c:barChart>
      <c:catAx>
        <c:axId val="8152804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1580855"/>
        <c:crosses val="autoZero"/>
        <c:auto val="1"/>
        <c:lblAlgn val="ctr"/>
        <c:lblOffset val="100"/>
        <c:noMultiLvlLbl val="0"/>
      </c:catAx>
      <c:valAx>
        <c:axId val="851580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528047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'[新建 XLS 工作表.xls]Sheet1'!$B$31</c:f>
              <c:strCache>
                <c:ptCount val="1"/>
                <c:pt idx="0">
                  <c:v>毕业人数</c:v>
                </c:pt>
              </c:strCache>
            </c:strRef>
          </c:tx>
          <c:spPr>
            <a:solidFill>
              <a:schemeClr val="accent1"/>
            </a:solidFill>
            <a:ln>
              <a:noFill/>
            </a:ln>
            <a:effectLst/>
          </c:spPr>
          <c:invertIfNegative val="0"/>
          <c:dLbls>
            <c:delete val="1"/>
          </c:dLbls>
          <c:cat>
            <c:strRef>
              <c:f>'[新建 XLS 工作表.xls]Sheet1'!$A$32:$A$34</c:f>
              <c:strCache>
                <c:ptCount val="3"/>
                <c:pt idx="0">
                  <c:v>2016级</c:v>
                </c:pt>
                <c:pt idx="1">
                  <c:v>2017级</c:v>
                </c:pt>
                <c:pt idx="2">
                  <c:v>2018级</c:v>
                </c:pt>
              </c:strCache>
            </c:strRef>
          </c:cat>
          <c:val>
            <c:numRef>
              <c:f>'[新建 XLS 工作表.xls]Sheet1'!$B$32:$B$34</c:f>
              <c:numCache>
                <c:formatCode>General</c:formatCode>
                <c:ptCount val="3"/>
                <c:pt idx="0">
                  <c:v>341</c:v>
                </c:pt>
                <c:pt idx="1">
                  <c:v>433</c:v>
                </c:pt>
                <c:pt idx="2">
                  <c:v>586</c:v>
                </c:pt>
              </c:numCache>
            </c:numRef>
          </c:val>
        </c:ser>
        <c:dLbls>
          <c:showLegendKey val="0"/>
          <c:showVal val="0"/>
          <c:showCatName val="0"/>
          <c:showSerName val="0"/>
          <c:showPercent val="0"/>
          <c:showBubbleSize val="0"/>
        </c:dLbls>
        <c:gapWidth val="219"/>
        <c:overlap val="-27"/>
        <c:axId val="279631927"/>
        <c:axId val="526136870"/>
      </c:barChart>
      <c:catAx>
        <c:axId val="27963192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6136870"/>
        <c:crosses val="autoZero"/>
        <c:auto val="1"/>
        <c:lblAlgn val="ctr"/>
        <c:lblOffset val="100"/>
        <c:noMultiLvlLbl val="0"/>
      </c:catAx>
      <c:valAx>
        <c:axId val="52613687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9631927"/>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'[新建 XLS 工作表.xls]Sheet1'!$B$31</c:f>
              <c:strCache>
                <c:ptCount val="1"/>
                <c:pt idx="0">
                  <c:v>同比上年增长率</c:v>
                </c:pt>
              </c:strCache>
            </c:strRef>
          </c:tx>
          <c:spPr>
            <a:solidFill>
              <a:schemeClr val="accent1"/>
            </a:solidFill>
            <a:ln>
              <a:noFill/>
            </a:ln>
            <a:effectLst/>
          </c:spPr>
          <c:invertIfNegative val="0"/>
          <c:dLbls>
            <c:delete val="1"/>
          </c:dLbls>
          <c:cat>
            <c:strRef>
              <c:f>'[新建 XLS 工作表.xls]Sheet1'!$A$32:$A$34</c:f>
              <c:strCache>
                <c:ptCount val="3"/>
                <c:pt idx="0">
                  <c:v>2016级</c:v>
                </c:pt>
                <c:pt idx="1">
                  <c:v>2017级</c:v>
                </c:pt>
                <c:pt idx="2">
                  <c:v>2018级</c:v>
                </c:pt>
              </c:strCache>
            </c:strRef>
          </c:cat>
          <c:val>
            <c:numRef>
              <c:f>'[新建 XLS 工作表.xls]Sheet1'!$B$32:$B$34</c:f>
              <c:numCache>
                <c:formatCode>0%</c:formatCode>
                <c:ptCount val="3"/>
                <c:pt idx="0">
                  <c:v>0.38</c:v>
                </c:pt>
                <c:pt idx="1">
                  <c:v>0.27</c:v>
                </c:pt>
                <c:pt idx="2">
                  <c:v>0.26</c:v>
                </c:pt>
              </c:numCache>
            </c:numRef>
          </c:val>
        </c:ser>
        <c:dLbls>
          <c:showLegendKey val="0"/>
          <c:showVal val="0"/>
          <c:showCatName val="0"/>
          <c:showSerName val="0"/>
          <c:showPercent val="0"/>
          <c:showBubbleSize val="0"/>
        </c:dLbls>
        <c:gapWidth val="219"/>
        <c:overlap val="-27"/>
        <c:axId val="159770763"/>
        <c:axId val="253225978"/>
      </c:barChart>
      <c:catAx>
        <c:axId val="15977076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3225978"/>
        <c:crosses val="autoZero"/>
        <c:auto val="1"/>
        <c:lblAlgn val="ctr"/>
        <c:lblOffset val="100"/>
        <c:noMultiLvlLbl val="0"/>
      </c:catAx>
      <c:valAx>
        <c:axId val="25322597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97707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学生结构</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tx>
            <c:strRef>
              <c:f>'[新建 XLS 工作表.xls]Sheet1'!$A$46</c:f>
              <c:strCache>
                <c:ptCount val="1"/>
                <c:pt idx="0">
                  <c:v>男生</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'[新建 XLS 工作表.xls]Sheet1'!$B$45:$C$45</c:f>
              <c:strCache>
                <c:ptCount val="2"/>
                <c:pt idx="0">
                  <c:v>2017年度</c:v>
                </c:pt>
                <c:pt idx="1">
                  <c:v>2018年度</c:v>
                </c:pt>
              </c:strCache>
            </c:strRef>
          </c:cat>
          <c:val>
            <c:numRef>
              <c:f>'[新建 XLS 工作表.xls]Sheet1'!$B$46:$C$46</c:f>
              <c:numCache>
                <c:formatCode>0.00%</c:formatCode>
                <c:ptCount val="2"/>
                <c:pt idx="0">
                  <c:v>0.608</c:v>
                </c:pt>
                <c:pt idx="1">
                  <c:v>0.5876</c:v>
                </c:pt>
              </c:numCache>
            </c:numRef>
          </c:val>
        </c:ser>
        <c:ser>
          <c:idx val="1"/>
          <c:order val="1"/>
          <c:tx>
            <c:strRef>
              <c:f>'[新建 XLS 工作表.xls]Sheet1'!$A$47</c:f>
              <c:strCache>
                <c:ptCount val="1"/>
                <c:pt idx="0">
                  <c:v>女生</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'[新建 XLS 工作表.xls]Sheet1'!$B$45:$C$45</c:f>
              <c:strCache>
                <c:ptCount val="2"/>
                <c:pt idx="0">
                  <c:v>2017年度</c:v>
                </c:pt>
                <c:pt idx="1">
                  <c:v>2018年度</c:v>
                </c:pt>
              </c:strCache>
            </c:strRef>
          </c:cat>
          <c:val>
            <c:numRef>
              <c:f>'[新建 XLS 工作表.xls]Sheet1'!$B$47:$C$47</c:f>
              <c:numCache>
                <c:formatCode>0.00%</c:formatCode>
                <c:ptCount val="2"/>
                <c:pt idx="0">
                  <c:v>0.392</c:v>
                </c:pt>
                <c:pt idx="1">
                  <c:v>0.4124</c:v>
                </c:pt>
              </c:numCache>
            </c:numRef>
          </c:val>
        </c:ser>
        <c:dLbls>
          <c:showLegendKey val="0"/>
          <c:showVal val="0"/>
          <c:showCatName val="0"/>
          <c:showSerName val="0"/>
          <c:showPercent val="0"/>
          <c:showBubbleSize val="0"/>
        </c:dLbls>
        <c:gapWidth val="219"/>
        <c:overlap val="-27"/>
        <c:axId val="669322018"/>
        <c:axId val="834613383"/>
      </c:barChart>
      <c:catAx>
        <c:axId val="66932201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4613383"/>
        <c:crosses val="autoZero"/>
        <c:auto val="1"/>
        <c:lblAlgn val="ctr"/>
        <c:lblOffset val="100"/>
        <c:noMultiLvlLbl val="0"/>
      </c:catAx>
      <c:valAx>
        <c:axId val="834613383"/>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932201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师生比</a:t>
            </a:r>
          </a:p>
        </c:rich>
      </c:tx>
      <c:layout>
        <c:manualLayout>
          <c:xMode val="edge"/>
          <c:yMode val="edge"/>
          <c:x val="0.408194444444444"/>
          <c:y val="0.0381944444444444"/>
        </c:manualLayout>
      </c:layout>
      <c:overlay val="0"/>
      <c:spPr>
        <a:noFill/>
        <a:ln>
          <a:noFill/>
        </a:ln>
        <a:effectLst/>
      </c:spPr>
    </c:title>
    <c:autoTitleDeleted val="0"/>
    <c:plotArea>
      <c:layout/>
      <c:barChart>
        <c:barDir val="col"/>
        <c:grouping val="clustered"/>
        <c:varyColors val="0"/>
        <c:ser>
          <c:idx val="0"/>
          <c:order val="0"/>
          <c:tx>
            <c:strRef>
              <c:f>'[新建 XLS 工作表.xls]Sheet1'!$A$56</c:f>
              <c:strCache>
                <c:ptCount val="1"/>
                <c:pt idx="0">
                  <c:v>学生</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工作表.xls]Sheet1'!$B$55:$C$55</c:f>
              <c:strCache>
                <c:ptCount val="2"/>
                <c:pt idx="0">
                  <c:v>2017年度</c:v>
                </c:pt>
                <c:pt idx="1">
                  <c:v>2018年度</c:v>
                </c:pt>
              </c:strCache>
            </c:strRef>
          </c:cat>
          <c:val>
            <c:numRef>
              <c:f>'[新建 XLS 工作表.xls]Sheet1'!$B$56:$C$56</c:f>
              <c:numCache>
                <c:formatCode>General</c:formatCode>
                <c:ptCount val="2"/>
                <c:pt idx="0">
                  <c:v>11.6</c:v>
                </c:pt>
                <c:pt idx="1">
                  <c:v>9.04</c:v>
                </c:pt>
              </c:numCache>
            </c:numRef>
          </c:val>
        </c:ser>
        <c:ser>
          <c:idx val="1"/>
          <c:order val="1"/>
          <c:tx>
            <c:strRef>
              <c:f>'[新建 XLS 工作表.xls]Sheet1'!$A$57</c:f>
              <c:strCache>
                <c:ptCount val="1"/>
                <c:pt idx="0">
                  <c:v>教师</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工作表.xls]Sheet1'!$B$55:$C$55</c:f>
              <c:strCache>
                <c:ptCount val="2"/>
                <c:pt idx="0">
                  <c:v>2017年度</c:v>
                </c:pt>
                <c:pt idx="1">
                  <c:v>2018年度</c:v>
                </c:pt>
              </c:strCache>
            </c:strRef>
          </c:cat>
          <c:val>
            <c:numRef>
              <c:f>'[新建 XLS 工作表.xls]Sheet1'!$B$57:$C$57</c:f>
              <c:numCache>
                <c:formatCode>General</c:formatCode>
                <c:ptCount val="2"/>
                <c:pt idx="0">
                  <c:v>1</c:v>
                </c:pt>
                <c:pt idx="1">
                  <c:v>1</c:v>
                </c:pt>
              </c:numCache>
            </c:numRef>
          </c:val>
        </c:ser>
        <c:dLbls>
          <c:showLegendKey val="0"/>
          <c:showVal val="1"/>
          <c:showCatName val="0"/>
          <c:showSerName val="0"/>
          <c:showPercent val="0"/>
          <c:showBubbleSize val="0"/>
        </c:dLbls>
        <c:gapWidth val="219"/>
        <c:overlap val="-27"/>
        <c:axId val="504091838"/>
        <c:axId val="41629383"/>
      </c:barChart>
      <c:catAx>
        <c:axId val="50409183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629383"/>
        <c:crosses val="autoZero"/>
        <c:auto val="1"/>
        <c:lblAlgn val="ctr"/>
        <c:lblOffset val="100"/>
        <c:noMultiLvlLbl val="0"/>
      </c:catAx>
      <c:valAx>
        <c:axId val="41629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409183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教师结构</a:t>
            </a:r>
          </a:p>
        </c:rich>
      </c:tx>
      <c:layout/>
      <c:overlay val="0"/>
      <c:spPr>
        <a:noFill/>
        <a:ln w="28575" cmpd="sng">
          <a:noFill/>
          <a:prstDash val="solid"/>
        </a:ln>
        <a:effectLst/>
      </c:spPr>
    </c:title>
    <c:autoTitleDeleted val="0"/>
    <c:plotArea>
      <c:layout/>
      <c:barChart>
        <c:barDir val="col"/>
        <c:grouping val="clustered"/>
        <c:varyColors val="0"/>
        <c:ser>
          <c:idx val="0"/>
          <c:order val="0"/>
          <c:tx>
            <c:strRef>
              <c:f>'[新建 XLS 工作表.xls]Sheet1'!$B$60</c:f>
              <c:strCache>
                <c:ptCount val="1"/>
                <c:pt idx="0">
                  <c:v>2017年度</c:v>
                </c:pt>
              </c:strCache>
            </c:strRef>
          </c:tx>
          <c:spPr>
            <a:solidFill>
              <a:schemeClr val="accent1"/>
            </a:solidFill>
            <a:ln>
              <a:noFill/>
            </a:ln>
            <a:effectLst/>
          </c:spPr>
          <c:invertIfNegative val="0"/>
          <c:dLbls>
            <c:delete val="1"/>
          </c:dLbls>
          <c:cat>
            <c:strRef>
              <c:f>'[新建 XLS 工作表.xls]Sheet1'!$A$61:$A$70</c:f>
              <c:strCache>
                <c:ptCount val="10"/>
                <c:pt idx="0">
                  <c:v>双师</c:v>
                </c:pt>
                <c:pt idx="1">
                  <c:v>非双师</c:v>
                </c:pt>
                <c:pt idx="2">
                  <c:v>兼职</c:v>
                </c:pt>
                <c:pt idx="3">
                  <c:v>非兼职</c:v>
                </c:pt>
                <c:pt idx="4">
                  <c:v>本科以上</c:v>
                </c:pt>
                <c:pt idx="5">
                  <c:v>本科以下</c:v>
                </c:pt>
                <c:pt idx="6">
                  <c:v>硕士以上</c:v>
                </c:pt>
                <c:pt idx="7">
                  <c:v>硕士以下</c:v>
                </c:pt>
                <c:pt idx="8">
                  <c:v>高级职称</c:v>
                </c:pt>
                <c:pt idx="9">
                  <c:v>非高职称</c:v>
                </c:pt>
              </c:strCache>
            </c:strRef>
          </c:cat>
          <c:val>
            <c:numRef>
              <c:f>'[新建 XLS 工作表.xls]Sheet1'!$B$61:$B$70</c:f>
              <c:numCache>
                <c:formatCode>0%</c:formatCode>
                <c:ptCount val="10"/>
                <c:pt idx="0">
                  <c:v>0.72</c:v>
                </c:pt>
                <c:pt idx="1" c:formatCode="0.00%">
                  <c:v>0.433</c:v>
                </c:pt>
                <c:pt idx="2" c:formatCode="0.00%">
                  <c:v>0.175</c:v>
                </c:pt>
                <c:pt idx="3" c:formatCode="0.00%">
                  <c:v>0.825</c:v>
                </c:pt>
                <c:pt idx="4">
                  <c:v>1</c:v>
                </c:pt>
                <c:pt idx="5">
                  <c:v>0</c:v>
                </c:pt>
                <c:pt idx="6" c:formatCode="0.00%">
                  <c:v>0.086</c:v>
                </c:pt>
                <c:pt idx="7" c:formatCode="0.00%">
                  <c:v>0.914</c:v>
                </c:pt>
                <c:pt idx="8" c:formatCode="0.00%">
                  <c:v>0.439</c:v>
                </c:pt>
                <c:pt idx="9" c:formatCode="0.00%">
                  <c:v>0.561</c:v>
                </c:pt>
              </c:numCache>
            </c:numRef>
          </c:val>
        </c:ser>
        <c:ser>
          <c:idx val="1"/>
          <c:order val="1"/>
          <c:tx>
            <c:strRef>
              <c:f>'[新建 XLS 工作表.xls]Sheet1'!$C$60</c:f>
              <c:strCache>
                <c:ptCount val="1"/>
                <c:pt idx="0">
                  <c:v>2018年度</c:v>
                </c:pt>
              </c:strCache>
            </c:strRef>
          </c:tx>
          <c:spPr>
            <a:solidFill>
              <a:schemeClr val="accent2"/>
            </a:solidFill>
            <a:ln>
              <a:noFill/>
            </a:ln>
            <a:effectLst/>
          </c:spPr>
          <c:invertIfNegative val="0"/>
          <c:dLbls>
            <c:delete val="1"/>
          </c:dLbls>
          <c:cat>
            <c:strRef>
              <c:f>'[新建 XLS 工作表.xls]Sheet1'!$A$61:$A$70</c:f>
              <c:strCache>
                <c:ptCount val="10"/>
                <c:pt idx="0">
                  <c:v>双师</c:v>
                </c:pt>
                <c:pt idx="1">
                  <c:v>非双师</c:v>
                </c:pt>
                <c:pt idx="2">
                  <c:v>兼职</c:v>
                </c:pt>
                <c:pt idx="3">
                  <c:v>非兼职</c:v>
                </c:pt>
                <c:pt idx="4">
                  <c:v>本科以上</c:v>
                </c:pt>
                <c:pt idx="5">
                  <c:v>本科以下</c:v>
                </c:pt>
                <c:pt idx="6">
                  <c:v>硕士以上</c:v>
                </c:pt>
                <c:pt idx="7">
                  <c:v>硕士以下</c:v>
                </c:pt>
                <c:pt idx="8">
                  <c:v>高级职称</c:v>
                </c:pt>
                <c:pt idx="9">
                  <c:v>非高职称</c:v>
                </c:pt>
              </c:strCache>
            </c:strRef>
          </c:cat>
          <c:val>
            <c:numRef>
              <c:f>'[新建 XLS 工作表.xls]Sheet1'!$C$61:$C$70</c:f>
              <c:numCache>
                <c:formatCode>0%</c:formatCode>
                <c:ptCount val="10"/>
                <c:pt idx="0">
                  <c:v>0.72</c:v>
                </c:pt>
                <c:pt idx="1" c:formatCode="0.00%">
                  <c:v>0.433</c:v>
                </c:pt>
                <c:pt idx="2" c:formatCode="0.00%">
                  <c:v>0.036</c:v>
                </c:pt>
                <c:pt idx="3" c:formatCode="0.00%">
                  <c:v>0.954</c:v>
                </c:pt>
                <c:pt idx="4">
                  <c:v>1</c:v>
                </c:pt>
                <c:pt idx="5">
                  <c:v>0</c:v>
                </c:pt>
                <c:pt idx="6" c:formatCode="0.00%">
                  <c:v>0.086</c:v>
                </c:pt>
                <c:pt idx="7" c:formatCode="0.00%">
                  <c:v>0.914</c:v>
                </c:pt>
                <c:pt idx="8" c:formatCode="0.00%">
                  <c:v>0.439</c:v>
                </c:pt>
                <c:pt idx="9" c:formatCode="0.00%">
                  <c:v>0.561</c:v>
                </c:pt>
              </c:numCache>
            </c:numRef>
          </c:val>
        </c:ser>
        <c:dLbls>
          <c:showLegendKey val="0"/>
          <c:showVal val="0"/>
          <c:showCatName val="0"/>
          <c:showSerName val="0"/>
          <c:showPercent val="0"/>
          <c:showBubbleSize val="0"/>
        </c:dLbls>
        <c:gapWidth val="219"/>
        <c:overlap val="-27"/>
        <c:axId val="350952900"/>
        <c:axId val="712262209"/>
      </c:barChart>
      <c:catAx>
        <c:axId val="3509529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2262209"/>
        <c:crosses val="autoZero"/>
        <c:auto val="1"/>
        <c:lblAlgn val="ctr"/>
        <c:lblOffset val="100"/>
        <c:noMultiLvlLbl val="0"/>
      </c:catAx>
      <c:valAx>
        <c:axId val="71226220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095290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'[新建 XLS 工作表.xls]Sheet1'!$A$75</c:f>
              <c:strCache>
                <c:ptCount val="1"/>
                <c:pt idx="0">
                  <c:v>设备总值万</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工作表.xls]Sheet1'!$B$74:$C$74</c:f>
              <c:strCache>
                <c:ptCount val="2"/>
                <c:pt idx="0">
                  <c:v>2017年度</c:v>
                </c:pt>
                <c:pt idx="1">
                  <c:v>2018年度</c:v>
                </c:pt>
              </c:strCache>
            </c:strRef>
          </c:cat>
          <c:val>
            <c:numRef>
              <c:f>'[新建 XLS 工作表.xls]Sheet1'!$B$75:$C$75</c:f>
              <c:numCache>
                <c:formatCode>General</c:formatCode>
                <c:ptCount val="2"/>
                <c:pt idx="0">
                  <c:v>1707.39</c:v>
                </c:pt>
                <c:pt idx="1">
                  <c:v>2087.93</c:v>
                </c:pt>
              </c:numCache>
            </c:numRef>
          </c:val>
        </c:ser>
        <c:dLbls>
          <c:showLegendKey val="0"/>
          <c:showVal val="1"/>
          <c:showCatName val="0"/>
          <c:showSerName val="0"/>
          <c:showPercent val="0"/>
          <c:showBubbleSize val="0"/>
        </c:dLbls>
        <c:gapWidth val="219"/>
        <c:overlap val="-27"/>
        <c:axId val="529010579"/>
        <c:axId val="515833956"/>
      </c:barChart>
      <c:catAx>
        <c:axId val="52901057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5833956"/>
        <c:crosses val="autoZero"/>
        <c:auto val="1"/>
        <c:lblAlgn val="ctr"/>
        <c:lblOffset val="100"/>
        <c:noMultiLvlLbl val="0"/>
      </c:catAx>
      <c:valAx>
        <c:axId val="5158339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90105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生均设备值（元）</a:t>
            </a:r>
          </a:p>
        </c:rich>
      </c:tx>
      <c:layout/>
      <c:overlay val="0"/>
      <c:spPr>
        <a:noFill/>
        <a:ln>
          <a:noFill/>
        </a:ln>
        <a:effectLst/>
      </c:spPr>
    </c:title>
    <c:autoTitleDeleted val="0"/>
    <c:plotArea>
      <c:layout/>
      <c:barChart>
        <c:barDir val="col"/>
        <c:grouping val="clustered"/>
        <c:varyColors val="0"/>
        <c:ser>
          <c:idx val="0"/>
          <c:order val="0"/>
          <c:tx>
            <c:strRef>
              <c:f>'[新建 XLS 工作表.xls]Sheet1'!$A$78</c:f>
              <c:strCache>
                <c:ptCount val="1"/>
                <c:pt idx="0">
                  <c:v>生均设备值元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工作表.xls]Sheet1'!$B$77:$C$77</c:f>
              <c:strCache>
                <c:ptCount val="2"/>
                <c:pt idx="0">
                  <c:v>2017年度</c:v>
                </c:pt>
                <c:pt idx="1">
                  <c:v>2018年度</c:v>
                </c:pt>
              </c:strCache>
            </c:strRef>
          </c:cat>
          <c:val>
            <c:numRef>
              <c:f>'[新建 XLS 工作表.xls]Sheet1'!$B$78:$C$78</c:f>
              <c:numCache>
                <c:formatCode>General</c:formatCode>
                <c:ptCount val="2"/>
                <c:pt idx="0">
                  <c:v>7543</c:v>
                </c:pt>
                <c:pt idx="1">
                  <c:v>9853</c:v>
                </c:pt>
              </c:numCache>
            </c:numRef>
          </c:val>
        </c:ser>
        <c:dLbls>
          <c:showLegendKey val="0"/>
          <c:showVal val="1"/>
          <c:showCatName val="0"/>
          <c:showSerName val="0"/>
          <c:showPercent val="0"/>
          <c:showBubbleSize val="0"/>
        </c:dLbls>
        <c:gapWidth val="219"/>
        <c:overlap val="-27"/>
        <c:axId val="753114611"/>
        <c:axId val="986819942"/>
      </c:barChart>
      <c:catAx>
        <c:axId val="75311461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819942"/>
        <c:crosses val="autoZero"/>
        <c:auto val="1"/>
        <c:lblAlgn val="ctr"/>
        <c:lblOffset val="100"/>
        <c:noMultiLvlLbl val="0"/>
      </c:catAx>
      <c:valAx>
        <c:axId val="98681994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3114611"/>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textRotate="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3689</Words>
  <Characters>21030</Characters>
  <Lines>175</Lines>
  <Paragraphs>49</Paragraphs>
  <TotalTime>9</TotalTime>
  <ScaleCrop>false</ScaleCrop>
  <LinksUpToDate>false</LinksUpToDate>
  <CharactersWithSpaces>24670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lenovo</cp:lastModifiedBy>
  <cp:lastPrinted>2019-01-15T03:11:00Z</cp:lastPrinted>
  <dcterms:modified xsi:type="dcterms:W3CDTF">2019-01-18T08:08:01Z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